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2026.2.2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9" w:name="версия-2026.2.2"/>
    <w:p>
      <w:pPr>
        <w:pStyle w:val="Heading1"/>
      </w:pPr>
      <w:r>
        <w:t xml:space="preserve">Версия 2026.2.2</w:t>
      </w:r>
    </w:p>
    <w:bookmarkStart w:id="12" w:name="X7c1bdd065a7f308743a9b8511cd3cf4b8f4d203"/>
    <w:p>
      <w:pPr>
        <w:pStyle w:val="Heading2"/>
      </w:pPr>
      <w:r>
        <w:t xml:space="preserve">1. ИРБИС 128. Модуль Admin - АРМ Администратор</w:t>
      </w:r>
    </w:p>
    <w:bookmarkStart w:id="11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[I128-1745]</w:t>
        </w:r>
      </w:hyperlink>
      <w:r>
        <w:t xml:space="preserve"> </w:t>
      </w:r>
      <w:r>
        <w:t xml:space="preserve">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[I128-2437]</w:t>
        </w:r>
      </w:hyperlink>
      <w:r>
        <w:t xml:space="preserve"> </w:t>
      </w:r>
      <w:r>
        <w:t xml:space="preserve">Системные страницы административных и служебных разделов не создаются при установке</w:t>
      </w:r>
    </w:p>
    <w:bookmarkEnd w:id="11"/>
    <w:bookmarkEnd w:id="12"/>
    <w:bookmarkStart w:id="15" w:name="Xd3875fa7f9ec562c40329bb4c3aac99ef11bc05"/>
    <w:p>
      <w:pPr>
        <w:pStyle w:val="Heading2"/>
      </w:pPr>
      <w:r>
        <w:t xml:space="preserve">2. ИРБИС 128. Модуль AIS - АРМ Администратор информационной безопасности</w:t>
      </w:r>
    </w:p>
    <w:bookmarkStart w:id="14" w:name="документация"/>
    <w:p>
      <w:pPr>
        <w:pStyle w:val="Heading3"/>
      </w:pPr>
      <w:r>
        <w:t xml:space="preserve">2.1. Документация</w:t>
      </w:r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[I128-736]</w:t>
        </w:r>
      </w:hyperlink>
      <w:r>
        <w:t xml:space="preserve"> </w:t>
      </w:r>
      <w:r>
        <w:t xml:space="preserve">Документация по выгрузке событий безопасности в CSV-файл</w:t>
      </w:r>
    </w:p>
    <w:bookmarkEnd w:id="14"/>
    <w:bookmarkEnd w:id="15"/>
    <w:bookmarkStart w:id="20" w:name="Xdd84800827be35df37b1a6635139db59410a485"/>
    <w:p>
      <w:pPr>
        <w:pStyle w:val="Heading2"/>
      </w:pPr>
      <w:r>
        <w:t xml:space="preserve">3. ИРБИС 128. Модуль Bookland - АРМ Книговыдача</w:t>
      </w:r>
    </w:p>
    <w:bookmarkStart w:id="17" w:name="документация-1"/>
    <w:p>
      <w:pPr>
        <w:pStyle w:val="Heading3"/>
      </w:pPr>
      <w:r>
        <w:t xml:space="preserve">3.1. Документация</w:t>
      </w:r>
    </w:p>
    <w:p>
      <w:pPr>
        <w:pStyle w:val="Compact"/>
        <w:numPr>
          <w:ilvl w:val="0"/>
          <w:numId w:val="1003"/>
        </w:numPr>
      </w:pPr>
      <w:hyperlink r:id="rId16">
        <w:r>
          <w:rPr>
            <w:rStyle w:val="Hyperlink"/>
          </w:rPr>
          <w:t xml:space="preserve">[I128-577]</w:t>
        </w:r>
      </w:hyperlink>
      <w:r>
        <w:t xml:space="preserve"> </w:t>
      </w:r>
      <w:r>
        <w:t xml:space="preserve">Документация к АРМ «Книговыдача»</w:t>
      </w:r>
    </w:p>
    <w:bookmarkEnd w:id="17"/>
    <w:bookmarkStart w:id="19" w:name="исправление-ошибок-1"/>
    <w:p>
      <w:pPr>
        <w:pStyle w:val="Heading3"/>
      </w:pPr>
      <w:r>
        <w:t xml:space="preserve">3.2. Исправление ошибок</w:t>
      </w:r>
    </w:p>
    <w:p>
      <w:pPr>
        <w:pStyle w:val="Compact"/>
        <w:numPr>
          <w:ilvl w:val="0"/>
          <w:numId w:val="1004"/>
        </w:numPr>
      </w:pPr>
      <w:hyperlink r:id="rId18">
        <w:r>
          <w:rPr>
            <w:rStyle w:val="Hyperlink"/>
          </w:rPr>
          <w:t xml:space="preserve">[I128-1714]</w:t>
        </w:r>
      </w:hyperlink>
      <w:r>
        <w:t xml:space="preserve"> </w:t>
      </w:r>
      <w:r>
        <w:t xml:space="preserve">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bookmarkEnd w:id="19"/>
    <w:bookmarkEnd w:id="20"/>
    <w:bookmarkStart w:id="23" w:name="X681b15f3d79794b2c31e7839e89e3d126b18987"/>
    <w:p>
      <w:pPr>
        <w:pStyle w:val="Heading2"/>
      </w:pPr>
      <w:r>
        <w:t xml:space="preserve">4. ИРБИС 128. Модуль DP_Irbis64Native - Нативный провайдер данных к файлам СУБД ИРБИС 64/64+</w:t>
      </w:r>
    </w:p>
    <w:bookmarkStart w:id="22" w:name="исправление-ошибок-2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hyperlink r:id="rId21">
        <w:r>
          <w:rPr>
            <w:rStyle w:val="Hyperlink"/>
          </w:rPr>
          <w:t xml:space="preserve">[I128-1356]</w:t>
        </w:r>
      </w:hyperlink>
      <w:r>
        <w:t xml:space="preserve"> </w:t>
      </w:r>
      <w:r>
        <w:t xml:space="preserve">Сортировка результатов поиска</w:t>
      </w:r>
    </w:p>
    <w:bookmarkEnd w:id="22"/>
    <w:bookmarkEnd w:id="23"/>
    <w:bookmarkStart w:id="26" w:name="Xa5aee82dde5cc089591e4daba65ec4b844e30ad"/>
    <w:p>
      <w:pPr>
        <w:pStyle w:val="Heading2"/>
      </w:pPr>
      <w:r>
        <w:t xml:space="preserve">5. ИРБИС 128. Модуль he2 - Формы ввода данных</w:t>
      </w:r>
    </w:p>
    <w:bookmarkStart w:id="25" w:name="исправление-ошибок-3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hyperlink r:id="rId24">
        <w:r>
          <w:rPr>
            <w:rStyle w:val="Hyperlink"/>
          </w:rPr>
          <w:t xml:space="preserve">[I128-969]</w:t>
        </w:r>
      </w:hyperlink>
      <w:r>
        <w:t xml:space="preserve"> </w:t>
      </w:r>
      <w:r>
        <w:t xml:space="preserve">Ошибка сессии при сохранении записи в АРМ Каталогизатор</w:t>
      </w:r>
    </w:p>
    <w:bookmarkEnd w:id="25"/>
    <w:bookmarkEnd w:id="26"/>
    <w:bookmarkStart w:id="29" w:name="X7071f2597fbf07b0e7e7e7505e07d49ff84114b"/>
    <w:p>
      <w:pPr>
        <w:pStyle w:val="Heading2"/>
      </w:pPr>
      <w:r>
        <w:t xml:space="preserve">6. ИРБИС 128. Модуль Organisations - Организации</w:t>
      </w:r>
    </w:p>
    <w:bookmarkStart w:id="28" w:name="исправление-ошибок-4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hyperlink r:id="rId27">
        <w:r>
          <w:rPr>
            <w:rStyle w:val="Hyperlink"/>
          </w:rPr>
          <w:t xml:space="preserve">[I128-2443]</w:t>
        </w:r>
      </w:hyperlink>
      <w:r>
        <w:t xml:space="preserve"> </w:t>
      </w:r>
      <w:r>
        <w:t xml:space="preserve">Ограничение списка значений в поле ведомственного подчинения организации</w:t>
      </w:r>
    </w:p>
    <w:bookmarkEnd w:id="28"/>
    <w:bookmarkEnd w:id="29"/>
    <w:bookmarkStart w:id="32" w:name="ирбис-128.-модуль-record---запись-ирбис"/>
    <w:p>
      <w:pPr>
        <w:pStyle w:val="Heading2"/>
      </w:pPr>
      <w:r>
        <w:t xml:space="preserve">7. ИРБИС 128. Модуль Record - Запись ИРБИС</w:t>
      </w:r>
    </w:p>
    <w:bookmarkStart w:id="31" w:name="исправление-ошибок-5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hyperlink r:id="rId30">
        <w:r>
          <w:rPr>
            <w:rStyle w:val="Hyperlink"/>
          </w:rPr>
          <w:t xml:space="preserve">[I128-2447]</w:t>
        </w:r>
      </w:hyperlink>
      <w:r>
        <w:t xml:space="preserve"> </w:t>
      </w:r>
      <w:r>
        <w:t xml:space="preserve">Ошибка открытия результатов поиска ГУНБ при отсутствующей связанной записи CSpider</w:t>
      </w:r>
    </w:p>
    <w:bookmarkEnd w:id="31"/>
    <w:bookmarkEnd w:id="32"/>
    <w:bookmarkStart w:id="36" w:name="ирбис-128.-модуль-stat---арм-статистика"/>
    <w:p>
      <w:pPr>
        <w:pStyle w:val="Heading2"/>
      </w:pPr>
      <w:r>
        <w:t xml:space="preserve">8. ИРБИС 128. Модуль Stat - АРМ Статистика</w:t>
      </w:r>
    </w:p>
    <w:bookmarkStart w:id="35" w:name="исправление-ошибок-6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hyperlink r:id="rId33">
        <w:r>
          <w:rPr>
            <w:rStyle w:val="Hyperlink"/>
          </w:rPr>
          <w:t xml:space="preserve">[I128-2373]</w:t>
        </w:r>
      </w:hyperlink>
      <w:r>
        <w:t xml:space="preserve"> </w:t>
      </w:r>
      <w:r>
        <w:t xml:space="preserve">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9"/>
        </w:numPr>
      </w:pPr>
      <w:hyperlink r:id="rId34">
        <w:r>
          <w:rPr>
            <w:rStyle w:val="Hyperlink"/>
          </w:rPr>
          <w:t xml:space="preserve">[I128-2442]</w:t>
        </w:r>
      </w:hyperlink>
      <w:r>
        <w:t xml:space="preserve"> </w:t>
      </w:r>
      <w:r>
        <w:t xml:space="preserve">Ошибка очереди при автоматическом расчете статистики CSpider по организациям и базам данных</w:t>
      </w:r>
    </w:p>
    <w:bookmarkEnd w:id="35"/>
    <w:bookmarkEnd w:id="36"/>
    <w:bookmarkStart w:id="39" w:name="X7925d1af47ddfa6bc40f065eee9a02eb59b494b"/>
    <w:p>
      <w:pPr>
        <w:pStyle w:val="Heading2"/>
      </w:pPr>
      <w:r>
        <w:t xml:space="preserve">9. ИРБИС 128. Модуль UsersBooklist - Подборки книг</w:t>
      </w:r>
    </w:p>
    <w:bookmarkStart w:id="38" w:name="исправление-ошибок-7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hyperlink r:id="rId37">
        <w:r>
          <w:rPr>
            <w:rStyle w:val="Hyperlink"/>
          </w:rPr>
          <w:t xml:space="preserve">[I128-2338]</w:t>
        </w:r>
      </w:hyperlink>
      <w:r>
        <w:t xml:space="preserve"> </w:t>
      </w:r>
      <w:r>
        <w:t xml:space="preserve">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bookmarkEnd w:id="38"/>
    <w:bookmarkEnd w:id="39"/>
    <w:bookmarkStart w:id="42" w:name="Xf04b81d4aeedf5b977f4b36f6413c3522a1de31"/>
    <w:p>
      <w:pPr>
        <w:pStyle w:val="Heading2"/>
      </w:pPr>
      <w:r>
        <w:t xml:space="preserve">10. ИРБИС 128. Модуль WIrbis - Системный модуль</w:t>
      </w:r>
    </w:p>
    <w:bookmarkStart w:id="41" w:name="исправление-ошибок-8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hyperlink r:id="rId40">
        <w:r>
          <w:rPr>
            <w:rStyle w:val="Hyperlink"/>
          </w:rPr>
          <w:t xml:space="preserve">[I128-2446]</w:t>
        </w:r>
      </w:hyperlink>
      <w:r>
        <w:t xml:space="preserve"> </w:t>
      </w:r>
      <w:r>
        <w:t xml:space="preserve">Ошибка загрузки словаря в АРМ Каталогизаторе при открытии панели поиска</w:t>
      </w:r>
    </w:p>
    <w:bookmarkEnd w:id="41"/>
    <w:bookmarkEnd w:id="42"/>
    <w:bookmarkStart w:id="45" w:name="X9f468e5c9d1fd3228e7d8606b8c5eb801a606ac"/>
    <w:p>
      <w:pPr>
        <w:pStyle w:val="Heading2"/>
      </w:pPr>
      <w:r>
        <w:t xml:space="preserve">11. Комплексное решение Электронная библиотека ИРБИС64/128</w:t>
      </w:r>
    </w:p>
    <w:bookmarkStart w:id="44" w:name="документация-2"/>
    <w:p>
      <w:pPr>
        <w:pStyle w:val="Heading3"/>
      </w:pPr>
      <w:r>
        <w:t xml:space="preserve">11.1. Документация</w:t>
      </w:r>
    </w:p>
    <w:p>
      <w:pPr>
        <w:pStyle w:val="Compact"/>
        <w:numPr>
          <w:ilvl w:val="0"/>
          <w:numId w:val="1012"/>
        </w:numPr>
      </w:pPr>
      <w:hyperlink r:id="rId43">
        <w:r>
          <w:rPr>
            <w:rStyle w:val="Hyperlink"/>
          </w:rPr>
          <w:t xml:space="preserve">[I128-676]</w:t>
        </w:r>
      </w:hyperlink>
      <w:r>
        <w:t xml:space="preserve"> </w:t>
      </w:r>
      <w:r>
        <w:t xml:space="preserve">Документация по электронной библиотеке</w:t>
      </w:r>
    </w:p>
    <w:bookmarkEnd w:id="44"/>
    <w:bookmarkEnd w:id="45"/>
    <w:bookmarkStart w:id="60" w:name="X4baf5ab5216d3eb56594cc79de1ce187ec7a3cb"/>
    <w:p>
      <w:pPr>
        <w:pStyle w:val="Heading2"/>
      </w:pPr>
      <w:r>
        <w:t xml:space="preserve">[I128-1745] Поиск одной строкой мог использовать устаревший префикс ds=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Conference - Конференции, ИРБИС 128. Модуль ConferenceDay - День конференции, ИРБИС 128. Модуль EC - АРМ Читатель, ИРБИС 128. Модуль Event - Мероприятия, ИРБИС 128. Модуль he2 - Формы ввода данных, ИРБИС 128. Модуль ServiceOriented - Сервисы, ИРБИС 128. Модуль UserMessage - Сообщения пользователей, ИРБИС 128. Модуль UsersBooklist - Подборки книг, ИРБИС 128. Модуль VirtualRef - Виртуальная справка, ИРБИС 128. Модуль WIrbis - Системный модуль, 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части модулей поиск одной строкой использовал устаревший префикс ds=, из</w:t>
      </w:r>
      <w:r>
        <w:rPr>
          <w:strike/>
        </w:rPr>
        <w:t xml:space="preserve">за чего одинаковый пользовательский сценарий мог работать по</w:t>
      </w:r>
      <w:r>
        <w:t xml:space="preserve">разному в разных разделах системы.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префикс поиска одной строкой приведен к актуальному варианту k= в общих настройках, модульных конфигурациях, окнах выбора записей и связанных справочных материалах.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обновлены значения prefixDebilSubSearch и связанные настройки выбора записей, чтобы новые и существующие формы использовали единый поисковый префикс.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0"/>
    <w:bookmarkStart w:id="61" w:name="X96ed7700aa412df906ab34d8a0a88c26cbb0865"/>
    <w:p>
      <w:pPr>
        <w:pStyle w:val="Heading2"/>
      </w:pPr>
      <w:r>
        <w:t xml:space="preserve">[I128-2437] Системные страницы административных и служебных разделов не создаются при установке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14:41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проверке конфигурации системы не создавались записи ряда служебных страниц: управления выставками, ресурсами удаленного доступа, полнотекстовыми документами, ссылками Crossref, пользовательскими данными, тематикой и виртуальной справкой.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Список создаваемых системных страниц расширен, поэтому при инициализации конфигурации эти разделы будут заведены в системной базе страниц при наличии соответствующих модулей.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Обновлен механизм Admin/EnsurePages, который формирует системные записи страниц, и согласован счетчик шагов установки в Admin/EnsureConfig.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1"/>
    <w:bookmarkStart w:id="65" w:name="Xfbe9f865fad65dff428da97f3c138f344d8e10f"/>
    <w:p>
      <w:pPr>
        <w:pStyle w:val="Heading2"/>
      </w:pPr>
      <w:r>
        <w:t xml:space="preserve">[I128-736] Документация по выгрузке событий безопасности в CSV-файл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AIS - АРМ Администратор информационной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AIS/Root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AIS/Configuration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AIS/AccessProtocol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AIS/Import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AIS/IntegrityControl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</w:t>
      </w:r>
      <w:r>
        <w:rPr>
          <w:strike/>
        </w:rPr>
        <w:t xml:space="preserve">документация АРМ «Администратор информационной безопасности» по выводу событий безопасности во внешний CSV</w:t>
      </w:r>
      <w:r>
        <w:t xml:space="preserve">файл.</w:t>
      </w:r>
    </w:p>
    <w:p>
      <w:pPr>
        <w:pStyle w:val="BodyText"/>
      </w:pPr>
      <w:r>
        <w:t xml:space="preserve">В разделе настройки журнала событий описан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с интерфейсным названием «Путь к csv</w:t>
      </w:r>
      <w:r>
        <w:rPr>
          <w:strike/>
        </w:rPr>
        <w:t xml:space="preserve">файлу для записи событий»: когда он включает запись, что происходит при пустом значении, какой путь нужно указывать и какие права нужны учетной записи веб</w:t>
      </w:r>
      <w:r>
        <w:t xml:space="preserve">сервера.</w:t>
      </w:r>
    </w:p>
    <w:p>
      <w:pPr>
        <w:pStyle w:val="BodyText"/>
      </w:pPr>
      <w:r>
        <w:t xml:space="preserve">Добавлен скриншот формы настроек модуля AIS с параметром CSV-записи.</w:t>
      </w:r>
    </w:p>
    <w:p>
      <w:pPr>
        <w:pStyle w:val="BodyText"/>
      </w:pPr>
      <w:r>
        <w:t xml:space="preserve">Описан формат строки CSV: порядок полей, разделитель</w:t>
      </w:r>
      <w:r>
        <w:t xml:space="preserve"> </w:t>
      </w:r>
      <w:r>
        <w:rPr>
          <w:rStyle w:val="VerbatimChar"/>
        </w:rPr>
        <w:t xml:space="preserve">;</w:t>
      </w:r>
      <w:r>
        <w:t xml:space="preserve">, отсутствие строки заголовков и дозапись событий в конец файла.</w:t>
      </w:r>
    </w:p>
    <w:p>
      <w:pPr>
        <w:pStyle w:val="BodyText"/>
      </w:pPr>
      <w:r>
        <w:t xml:space="preserve">В разделе протокола доступа уточнено, что CSV-запись выполняется дополнительно к внутренней таблице событий и может использоваться для внешнего мониторинга, отдельного хранения или архивирования.</w:t>
      </w:r>
    </w:p>
    <w:p>
      <w:pPr>
        <w:pStyle w:val="BodyText"/>
      </w:pPr>
      <w:r>
        <w:t xml:space="preserve">После замечания по тексту удалены отсылки к старому документу «АРМ Информационная безопасность 128». Разделы</w:t>
      </w:r>
      <w:r>
        <w:t xml:space="preserve"> </w:t>
      </w:r>
      <w:r>
        <w:rPr>
          <w:rStyle w:val="VerbatimChar"/>
        </w:rPr>
        <w:t xml:space="preserve">AIS/Root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AIS/Import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AIS/IntegrityControl</w:t>
      </w:r>
      <w:r>
        <w:t xml:space="preserve"> </w:t>
      </w:r>
      <w:r>
        <w:t xml:space="preserve">переформулированы как самостоятельная актуальная документация по текущему модулю AIS.</w:t>
      </w:r>
    </w:p>
    <w:p>
      <w:pPr>
        <w:pStyle w:val="BodyText"/>
      </w:pPr>
      <w:r>
        <w:t xml:space="preserve">Документация сверена с текущим кодом: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объявлен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 CSV-запись выполняется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порядок полей и поведение при пустом пути соответствуют реализации.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8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8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8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8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8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8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8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8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8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8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8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9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9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9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AIS/Root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AIS/Configuration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AIS/AccessProtocol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AIS/Import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AIS/IntegrityControl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</w:t>
      </w:r>
      <w:r>
        <w:rPr>
          <w:strike/>
        </w:rPr>
        <w:t xml:space="preserve">документация АРМ «Администратор информационной безопасности» по выводу событий безопасности во внешний CSV</w:t>
      </w:r>
      <w:r>
        <w:t xml:space="preserve">файл.</w:t>
      </w:r>
    </w:p>
    <w:p>
      <w:pPr>
        <w:pStyle w:val="BodyText"/>
      </w:pPr>
      <w:r>
        <w:t xml:space="preserve">В разделе настройки журнала событий описан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с интерфейсным названием «Путь к csv</w:t>
      </w:r>
      <w:r>
        <w:rPr>
          <w:strike/>
        </w:rPr>
        <w:t xml:space="preserve">файлу для записи событий»: когда он включает запись, что происходит при пустом значении, какой путь нужно указывать и какие права нужны учетной записи веб</w:t>
      </w:r>
      <w:r>
        <w:t xml:space="preserve">сервера.</w:t>
      </w:r>
    </w:p>
    <w:p>
      <w:pPr>
        <w:pStyle w:val="BodyText"/>
      </w:pPr>
      <w:r>
        <w:t xml:space="preserve">Добавлен скриншот формы настроек модуля AIS с параметром CSV-записи.</w:t>
      </w:r>
    </w:p>
    <w:p>
      <w:pPr>
        <w:pStyle w:val="BodyText"/>
      </w:pPr>
      <w:r>
        <w:t xml:space="preserve">Описан формат строки CSV: порядок полей, разделитель</w:t>
      </w:r>
      <w:r>
        <w:t xml:space="preserve"> </w:t>
      </w:r>
      <w:r>
        <w:rPr>
          <w:rStyle w:val="VerbatimChar"/>
        </w:rPr>
        <w:t xml:space="preserve">;</w:t>
      </w:r>
      <w:r>
        <w:t xml:space="preserve">, отсутствие строки заголовков и дозапись событий в конец файла.</w:t>
      </w:r>
    </w:p>
    <w:p>
      <w:pPr>
        <w:pStyle w:val="BodyText"/>
      </w:pPr>
      <w:r>
        <w:t xml:space="preserve">В разделе протокола доступа уточнено, что CSV-запись выполняется дополнительно к внутренней таблице событий и может использоваться для внешнего мониторинга, отдельного хранения или архивирования.</w:t>
      </w:r>
    </w:p>
    <w:p>
      <w:pPr>
        <w:pStyle w:val="BodyText"/>
      </w:pPr>
      <w:r>
        <w:t xml:space="preserve">Удалены отсылки к старому документу «АРМ Информационная безопасность 128». Разделы</w:t>
      </w:r>
      <w:r>
        <w:t xml:space="preserve"> </w:t>
      </w:r>
      <w:r>
        <w:rPr>
          <w:rStyle w:val="VerbatimChar"/>
        </w:rPr>
        <w:t xml:space="preserve">AIS/Root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AIS/Import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AIS/IntegrityControl</w:t>
      </w:r>
      <w:r>
        <w:t xml:space="preserve"> </w:t>
      </w:r>
      <w:r>
        <w:t xml:space="preserve">переформулированы как самостоятельная актуальная документация по текущему модулю AIS.</w:t>
      </w:r>
    </w:p>
    <w:p>
      <w:pPr>
        <w:pStyle w:val="BodyText"/>
      </w:pPr>
      <w:r>
        <w:t xml:space="preserve">Документация сверена с текущим кодом: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объявлен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 CSV-запись выполняется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порядок полей и поведение при пустом пути соответствуют реализации.</w:t>
      </w:r>
    </w:p>
    <w:bookmarkStart w:id="64" w:name="связанные-задачи"/>
    <w:p>
      <w:pPr>
        <w:pStyle w:val="Heading3"/>
      </w:pPr>
      <w:r>
        <w:t xml:space="preserve">1. Связанные задачи</w:t>
      </w:r>
    </w:p>
    <w:bookmarkStart w:id="63" w:name="соответствует-задача-i128-733"/>
    <w:p>
      <w:pPr>
        <w:pStyle w:val="Heading4"/>
      </w:pPr>
      <w:r>
        <w:t xml:space="preserve">1.1. 🔗 Соответствует задача: I128-733</w:t>
      </w:r>
    </w:p>
    <w:p>
      <w:pPr>
        <w:pStyle w:val="BlockText"/>
      </w:pPr>
      <w:hyperlink r:id="rId62">
        <w:r>
          <w:rPr>
            <w:rStyle w:val="Hyperlink"/>
            <w:b/>
            <w:bCs/>
          </w:rPr>
          <w:t xml:space="preserve">[I128-733]</w:t>
        </w:r>
      </w:hyperlink>
      <w:r>
        <w:t xml:space="preserve"> </w:t>
      </w:r>
      <w:r>
        <w:t xml:space="preserve">Возможность вывода событий безопасности в csv-файл. 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3"/>
    <w:bookmarkEnd w:id="64"/>
    <w:bookmarkEnd w:id="65"/>
    <w:bookmarkStart w:id="66" w:name="i128-577-документация-к-арм-книговыдача"/>
    <w:p>
      <w:pPr>
        <w:pStyle w:val="Heading2"/>
      </w:pPr>
      <w:r>
        <w:t xml:space="preserve">[I128-577] Документация к АРМ «Книговыдача»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21"/>
        </w:numPr>
      </w:pPr>
      <w:r>
        <w:t xml:space="preserve">Руководство пользователя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Руководство администратора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Панель RFID в пользовательском интерфейсе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Форма «Заказы»</w:t>
      </w:r>
    </w:p>
    <w:p>
      <w:pPr>
        <w:pStyle w:val="Compact"/>
        <w:numPr>
          <w:ilvl w:val="0"/>
          <w:numId w:val="1021"/>
        </w:numPr>
      </w:pPr>
      <w:r>
        <w:t xml:space="preserve">Форма «Бронеполка»</w:t>
      </w:r>
    </w:p>
    <w:p>
      <w:pPr>
        <w:pStyle w:val="Compact"/>
        <w:numPr>
          <w:ilvl w:val="0"/>
          <w:numId w:val="1021"/>
        </w:numPr>
      </w:pPr>
      <w:r>
        <w:t xml:space="preserve">Форма «Продление»</w:t>
      </w:r>
    </w:p>
    <w:p>
      <w:pPr>
        <w:pStyle w:val="Compact"/>
        <w:numPr>
          <w:ilvl w:val="0"/>
          <w:numId w:val="1021"/>
        </w:numPr>
      </w:pPr>
      <w:r>
        <w:t xml:space="preserve">Форма «ЭДД»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2"/>
        </w:numPr>
      </w:pPr>
      <w:r>
        <w:t xml:space="preserve">Обновлено общее описание модуля и назначение АРМ «Книговыдача».</w:t>
      </w:r>
    </w:p>
    <w:p>
      <w:pPr>
        <w:pStyle w:val="Compact"/>
        <w:numPr>
          <w:ilvl w:val="0"/>
          <w:numId w:val="1022"/>
        </w:numPr>
      </w:pPr>
      <w:r>
        <w:t xml:space="preserve">Расширено описание пользовательского интерфейса, сервисной панели, поиска читателя, области читателя, выдачи без заказа, настроек, RFID, оперативной статистики и вкладок заявок.</w:t>
      </w:r>
    </w:p>
    <w:p>
      <w:pPr>
        <w:pStyle w:val="Compact"/>
        <w:numPr>
          <w:ilvl w:val="0"/>
          <w:numId w:val="1022"/>
        </w:numPr>
      </w:pPr>
      <w:r>
        <w:t xml:space="preserve">Подразделы страницы «Общая характеристика пользовательского интерфейса» подняты на уровень выше и теперь являются подстраницами раздела «Руководство пользователя». Обратные ссылки этих страниц ведут к руководству пользователя.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Выдача без заказа» описаны интерфейсы выбора записи и выбора экземпляра, включая окно «Издания», колонку «Выбор экземпляра», массовую выдачу отмеченных записей и окно «Выбор экземпляра для выдачи».</w:t>
      </w:r>
    </w:p>
    <w:p>
      <w:pPr>
        <w:pStyle w:val="Compact"/>
        <w:numPr>
          <w:ilvl w:val="0"/>
          <w:numId w:val="1022"/>
        </w:numPr>
      </w:pPr>
      <w:r>
        <w:t xml:space="preserve">В раздел «Форма Выдача без заказа» добавлены скриншоты окна выбора записи издания и окна выбора экземпляра для выдачи.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Поиск читателя» описано окно выбора записи «Читатели» и все действия его тулбара: выбор текущего читателя, статистические формы, статистика спроса, задолжники, посещение, групповая перерегистрация и обслуживание группы одним экземпляром.</w:t>
      </w:r>
    </w:p>
    <w:p>
      <w:pPr>
        <w:pStyle w:val="Compact"/>
        <w:numPr>
          <w:ilvl w:val="0"/>
          <w:numId w:val="1022"/>
        </w:numPr>
      </w:pPr>
      <w:r>
        <w:t xml:space="preserve">В раздел «Форма Поиск читателя» добавлены скриншоты окна выбора записи читателя и интерфейсов, открываемых кнопками тулбара окна «Читатели».</w:t>
      </w:r>
    </w:p>
    <w:p>
      <w:pPr>
        <w:pStyle w:val="Compact"/>
        <w:numPr>
          <w:ilvl w:val="0"/>
          <w:numId w:val="1022"/>
        </w:numPr>
      </w:pPr>
      <w:r>
        <w:t xml:space="preserve">В разделе «Область читателя» описана каждая кнопка тулбара панели «Текущий читатель» и формы «Издания на руках у читателя»: посещение, перерегистрация, блокировка, изменение, новый читатель, завершение работы, история выдач, формат просмотра, печать, продление, утеря, возврат, возврат на бронеполку и печать контрольных талонов. Добавлены скриншоты окон посещения, блокировки, редакторов, истории выдач и меню статусов бронеполки.</w:t>
      </w:r>
    </w:p>
    <w:p>
      <w:pPr>
        <w:pStyle w:val="Compact"/>
        <w:numPr>
          <w:ilvl w:val="0"/>
          <w:numId w:val="1022"/>
        </w:numPr>
      </w:pPr>
      <w:r>
        <w:t xml:space="preserve">В разделах «Заказы», «Бронеполка», «Продление» и «ЭДД» подробно описаны кнопки действий и интерфейсы, которые открываются при их нажатии: выполнение, отказ, просмотр читателя и издания, примечание, смена места выдачи, истории, окно продления и окно выполнения ЭДД.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Заказы» отдельно описана каждая кнопка тулбара слева направо: «Списки…», «Таблицы…», «Статистические формы», «Выполнить», «Бронировать», просмотр читателя, просмотр издания, редактирование издания, смена места выдачи, примечание, отказ, выполненные заказы и отказы. Добавлены скриншоты открываемых окон и меню.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Бронеполка» отдельно описана каждая кнопка тулбара слева направо: «Списки…», «Таблицы…», «Выдать», «Вернуть», смена места выдачи, примечание и «Статус». Добавлены скриншоты окон печатных/табличных форм, смены места выдачи, примечания и меню статусов.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Продление»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продления, просмотров, примечания, меню отказа и историй.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ЭДД»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заказа на оцифровку, просмотров, примечания, меню отказа и историй.</w:t>
      </w:r>
    </w:p>
    <w:p>
      <w:pPr>
        <w:pStyle w:val="Compact"/>
        <w:numPr>
          <w:ilvl w:val="0"/>
          <w:numId w:val="1022"/>
        </w:numPr>
      </w:pPr>
      <w:r>
        <w:t xml:space="preserve">Страница «Форма Настройки» описывает пользовательские настройки текущего сеанса АРМ: дату предполагаемого возврата и фильтры книговыдачи. Административные параметры профиля вынесены в руководство администратора.</w:t>
      </w:r>
    </w:p>
    <w:p>
      <w:pPr>
        <w:pStyle w:val="Compact"/>
        <w:numPr>
          <w:ilvl w:val="0"/>
          <w:numId w:val="1022"/>
        </w:numPr>
      </w:pPr>
      <w:r>
        <w:t xml:space="preserve">В руководстве администратора описаны профили книговыдачи, выбор профиля, базы данных, режимы обслуживания, доступность панелей, подсистемы заказов/бронеполки/продления/ЭДД и настройка полей/префиксов.</w:t>
      </w:r>
    </w:p>
    <w:p>
      <w:pPr>
        <w:pStyle w:val="Compact"/>
        <w:numPr>
          <w:ilvl w:val="0"/>
          <w:numId w:val="1022"/>
        </w:numPr>
      </w:pPr>
      <w:r>
        <w:t xml:space="preserve">В раздел «Общая характеристика пользовательского интерфейса» и его подразделы добавлены скриншоты пользовательских панелей: общий вид интерфейса, скоростная выдача/возврат, поиск читателя, область читателя, настройки, RFID, оперативная статистика, сервисные панели, заказы, бронеполка, продление и ЭДД.</w:t>
      </w:r>
    </w:p>
    <w:p>
      <w:pPr>
        <w:pStyle w:val="Compact"/>
        <w:numPr>
          <w:ilvl w:val="0"/>
          <w:numId w:val="1022"/>
        </w:numPr>
      </w:pPr>
      <w:r>
        <w:t xml:space="preserve">Изображение формы «Настройки» переснято из браузера без затенения.</w:t>
      </w:r>
    </w:p>
    <w:p>
      <w:pPr>
        <w:pStyle w:val="Compact"/>
        <w:numPr>
          <w:ilvl w:val="0"/>
          <w:numId w:val="1022"/>
        </w:numPr>
      </w:pPr>
      <w:r>
        <w:t xml:space="preserve">Для форм «Заказы», «Бронеполка», «Продление» и «ЭДД» добавлены отдельные изображения с активной соответствующей вкладкой.</w:t>
      </w:r>
    </w:p>
    <w:p>
      <w:pPr>
        <w:pStyle w:val="Compact"/>
        <w:numPr>
          <w:ilvl w:val="0"/>
          <w:numId w:val="1022"/>
        </w:numPr>
      </w:pPr>
      <w:r>
        <w:t xml:space="preserve">Изображения оформлены через Help-макросы для корректного отображения в HTML и DOCX.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2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24"/>
        </w:numPr>
      </w:pPr>
      <w:r>
        <w:t xml:space="preserve">Структура раздела теперь закрывает общее описание, руководство пользователя и руководство администратора.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25"/>
        </w:numPr>
      </w:pPr>
      <w:r>
        <w:t xml:space="preserve">Руководство пользователя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Руководство администратора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Панель RFID в пользовательском интерфейсе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Форма «Заказы»</w:t>
      </w:r>
    </w:p>
    <w:p>
      <w:pPr>
        <w:pStyle w:val="Compact"/>
        <w:numPr>
          <w:ilvl w:val="0"/>
          <w:numId w:val="1025"/>
        </w:numPr>
      </w:pPr>
      <w:r>
        <w:t xml:space="preserve">Форма «Бронеполка»</w:t>
      </w:r>
    </w:p>
    <w:p>
      <w:pPr>
        <w:pStyle w:val="Compact"/>
        <w:numPr>
          <w:ilvl w:val="0"/>
          <w:numId w:val="1025"/>
        </w:numPr>
      </w:pPr>
      <w:r>
        <w:t xml:space="preserve">Форма «Продление»</w:t>
      </w:r>
    </w:p>
    <w:p>
      <w:pPr>
        <w:pStyle w:val="Compact"/>
        <w:numPr>
          <w:ilvl w:val="0"/>
          <w:numId w:val="1025"/>
        </w:numPr>
      </w:pPr>
      <w:r>
        <w:t xml:space="preserve">Форма «ЭДД»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6"/>
        </w:numPr>
      </w:pPr>
      <w:r>
        <w:t xml:space="preserve">Обновлено общее описание модуля и назначение АРМ «Книговыдача».</w:t>
      </w:r>
    </w:p>
    <w:p>
      <w:pPr>
        <w:pStyle w:val="Compact"/>
        <w:numPr>
          <w:ilvl w:val="0"/>
          <w:numId w:val="1026"/>
        </w:numPr>
      </w:pPr>
      <w:r>
        <w:t xml:space="preserve">Расширено описание пользовательского интерфейса, сервисной панели, поиска читателя, области читателя, выдачи без заказа, настроек, RFID, оперативной статистики и вкладок заявок.</w:t>
      </w:r>
    </w:p>
    <w:p>
      <w:pPr>
        <w:pStyle w:val="Compact"/>
        <w:numPr>
          <w:ilvl w:val="0"/>
          <w:numId w:val="1026"/>
        </w:numPr>
      </w:pPr>
      <w:r>
        <w:t xml:space="preserve">Подразделы страницы «Общая характеристика пользовательского интерфейса» подняты на уровень выше и теперь являются подстраницами раздела «Руководство пользователя». Обратные ссылки этих страниц ведут к руководству пользователя.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Выдача без заказа» описаны интерфейсы выбора записи и выбора экземпляра, включая окно «Издания», колонку «Выбор экземпляра», массовую выдачу отмеченных записей и окно «Выбор экземпляра для выдачи».</w:t>
      </w:r>
    </w:p>
    <w:p>
      <w:pPr>
        <w:pStyle w:val="Compact"/>
        <w:numPr>
          <w:ilvl w:val="0"/>
          <w:numId w:val="1026"/>
        </w:numPr>
      </w:pPr>
      <w:r>
        <w:t xml:space="preserve">В раздел «Форма Выдача без заказа» добавлены скриншоты окна выбора записи издания и окна выбора экземпляра для выдачи.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Поиск читателя» описано окно выбора записи «Читатели» и все действия его тулбара: выбор текущего читателя, статистические формы, статистика спроса, задолжники, посещение, групповая перерегистрация и обслуживание группы одним экземпляром.</w:t>
      </w:r>
    </w:p>
    <w:p>
      <w:pPr>
        <w:pStyle w:val="Compact"/>
        <w:numPr>
          <w:ilvl w:val="0"/>
          <w:numId w:val="1026"/>
        </w:numPr>
      </w:pPr>
      <w:r>
        <w:t xml:space="preserve">В раздел «Форма Поиск читателя» добавлены скриншоты окна выбора записи читателя и интерфейсов, открываемых кнопками тулбара окна «Читатели».</w:t>
      </w:r>
    </w:p>
    <w:p>
      <w:pPr>
        <w:pStyle w:val="Compact"/>
        <w:numPr>
          <w:ilvl w:val="0"/>
          <w:numId w:val="1026"/>
        </w:numPr>
      </w:pPr>
      <w:r>
        <w:t xml:space="preserve">В разделе «Область читателя» описана каждая кнопка тулбара панели «Текущий читатель» и формы «Издания на руках у читателя»: посещение, перерегистрация, блокировка, изменение, новый читатель, завершение работы, история выдач, формат просмотра, печать, продление, утеря, возврат, возврат на бронеполку и печать контрольных талонов. Добавлены скриншоты окон посещения, блокировки, редакторов, истории выдач и меню статусов бронеполки.</w:t>
      </w:r>
    </w:p>
    <w:p>
      <w:pPr>
        <w:pStyle w:val="Compact"/>
        <w:numPr>
          <w:ilvl w:val="0"/>
          <w:numId w:val="1026"/>
        </w:numPr>
      </w:pPr>
      <w:r>
        <w:t xml:space="preserve">В разделах «Заказы», «Бронеполка», «Продление» и «ЭДД» подробно описаны кнопки действий и интерфейсы, которые открываются при их нажатии: выполнение, отказ, просмотр читателя и издания, примечание, смена места выдачи, истории, окно продления и окно выполнения ЭДД.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Заказы» отдельно описана каждая кнопка тулбара слева направо: «Списки…», «Таблицы…», «Статистические формы», «Выполнить», «Бронировать», просмотр читателя, просмотр издания, редактирование издания, смена места выдачи, примечание, отказ, выполненные заказы и отказы. Добавлены скриншоты открываемых окон и меню.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Бронеполка» отдельно описана каждая кнопка тулбара слева направо: «Списки…», «Таблицы…», «Выдать», «Вернуть», смена места выдачи, примечание и «Статус». Добавлены скриншоты окон печатных/табличных форм, смены места выдачи, примечания и меню статусов.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Продление»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продления, просмотров, примечания, меню отказа и историй.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ЭДД»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заказа на оцифровку, просмотров, примечания, меню отказа и историй.</w:t>
      </w:r>
    </w:p>
    <w:p>
      <w:pPr>
        <w:pStyle w:val="Compact"/>
        <w:numPr>
          <w:ilvl w:val="0"/>
          <w:numId w:val="1026"/>
        </w:numPr>
      </w:pPr>
      <w:r>
        <w:t xml:space="preserve">Страница «Форма Настройки» описывает пользовательские настройки текущего сеанса АРМ: дату предполагаемого возврата и фильтры книговыдачи. Административные параметры профиля вынесены в руководство администратора.</w:t>
      </w:r>
    </w:p>
    <w:p>
      <w:pPr>
        <w:pStyle w:val="Compact"/>
        <w:numPr>
          <w:ilvl w:val="0"/>
          <w:numId w:val="1026"/>
        </w:numPr>
      </w:pPr>
      <w:r>
        <w:t xml:space="preserve">В руководстве администратора описаны профили книговыдачи, выбор профиля, базы данных, режимы обслуживания, доступность панелей, подсистемы заказов/бронеполки/продления/ЭДД и настройка полей/префиксов.</w:t>
      </w:r>
    </w:p>
    <w:p>
      <w:pPr>
        <w:pStyle w:val="Compact"/>
        <w:numPr>
          <w:ilvl w:val="0"/>
          <w:numId w:val="1026"/>
        </w:numPr>
      </w:pPr>
      <w:r>
        <w:t xml:space="preserve">В раздел «Общая характеристика пользовательского интерфейса» и его подразделы добавлены скриншоты пользовательских панелей: общий вид интерфейса, скоростная выдача/возврат, поиск читателя, область читателя, настройки, RFID, оперативная статистика, сервисные панели, заказы, бронеполка, продление и ЭДД.</w:t>
      </w:r>
    </w:p>
    <w:p>
      <w:pPr>
        <w:pStyle w:val="Compact"/>
        <w:numPr>
          <w:ilvl w:val="0"/>
          <w:numId w:val="1026"/>
        </w:numPr>
      </w:pPr>
      <w:r>
        <w:t xml:space="preserve">Изображение формы «Настройки» переснято из браузера без затенения.</w:t>
      </w:r>
    </w:p>
    <w:p>
      <w:pPr>
        <w:pStyle w:val="Compact"/>
        <w:numPr>
          <w:ilvl w:val="0"/>
          <w:numId w:val="1026"/>
        </w:numPr>
      </w:pPr>
      <w:r>
        <w:t xml:space="preserve">Для форм «Заказы», «Бронеполка», «Продление» и «ЭДД» добавлены отдельные изображения с активной соответствующей вкладкой.</w:t>
      </w:r>
    </w:p>
    <w:p>
      <w:pPr>
        <w:pStyle w:val="Compact"/>
        <w:numPr>
          <w:ilvl w:val="0"/>
          <w:numId w:val="1026"/>
        </w:numPr>
      </w:pPr>
      <w:r>
        <w:t xml:space="preserve">Изображения оформлены через Help-макросы для корректного отображения в HTML и DOCX.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27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28"/>
        </w:numPr>
      </w:pPr>
      <w:r>
        <w:t xml:space="preserve">Структура раздела теперь закрывает общее описание, руководство пользователя и руководство администратора.</w:t>
      </w:r>
    </w:p>
    <w:bookmarkEnd w:id="66"/>
    <w:bookmarkStart w:id="67" w:name="X57a8339d048e4eac7fa05c57caeba36ef78be3f"/>
    <w:p>
      <w:pPr>
        <w:pStyle w:val="Heading2"/>
      </w:pPr>
      <w:r>
        <w:t xml:space="preserve">[I128-1714]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Книговыдача после включения режима</w:t>
      </w:r>
      <w:r>
        <w:t xml:space="preserve"> </w:t>
      </w:r>
      <w:r>
        <w:t xml:space="preserve">“Выдача на бронеполку”</w:t>
      </w:r>
      <w:r>
        <w:t xml:space="preserve"> </w:t>
      </w:r>
      <w:r>
        <w:t xml:space="preserve">панель поиска изданий продолжала называться</w:t>
      </w:r>
      <w:r>
        <w:t xml:space="preserve"> </w:t>
      </w:r>
      <w:r>
        <w:t xml:space="preserve">“Выдача без заказа”</w:t>
      </w:r>
      <w:r>
        <w:t xml:space="preserve">, хотя действие в этом режиме выполняет бронирование экземпляра. В окне выбора издания массовая кнопка также оставалась сформулированной как выдача.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При включении режима бронеполки панель поиска изданий теперь меняет заголовок на</w:t>
      </w:r>
      <w:r>
        <w:t xml:space="preserve"> </w:t>
      </w:r>
      <w:r>
        <w:t xml:space="preserve">“БРОНИРОВАНИЕ без заказа”</w:t>
      </w:r>
      <w:r>
        <w:t xml:space="preserve">, а массовая кнопка в окне выбора издания называется</w:t>
      </w:r>
      <w:r>
        <w:t xml:space="preserve"> </w:t>
      </w:r>
      <w:r>
        <w:t xml:space="preserve">“Забронировать все отмеченные”</w:t>
      </w:r>
      <w:r>
        <w:t xml:space="preserve">. Если пользователь не выбрал экземпляры для отмеченных изданий, операция не отправляется и выводится понятное сообщение.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панели</w:t>
      </w:r>
      <w:r>
        <w:t xml:space="preserve"> </w:t>
      </w:r>
      <w:r>
        <w:rPr>
          <w:rStyle w:val="VerbatimChar"/>
        </w:rPr>
        <w:t xml:space="preserve">SearchPanelBooks</w:t>
      </w:r>
      <w:r>
        <w:t xml:space="preserve"> </w:t>
      </w:r>
      <w:r>
        <w:t xml:space="preserve">добавлены отдельные стандартный и броневой заголовки, которые использует общий переключатель режима</w:t>
      </w:r>
      <w:r>
        <w:t xml:space="preserve"> </w:t>
      </w:r>
      <w:r>
        <w:rPr>
          <w:rStyle w:val="VerbatimChar"/>
        </w:rPr>
        <w:t xml:space="preserve">setBroneMode()</w:t>
      </w:r>
      <w:r>
        <w:t xml:space="preserve">. В окне</w:t>
      </w:r>
      <w:r>
        <w:t xml:space="preserve"> </w:t>
      </w:r>
      <w:r>
        <w:rPr>
          <w:rStyle w:val="VerbatimChar"/>
        </w:rPr>
        <w:t xml:space="preserve">BookDupWindow</w:t>
      </w:r>
      <w:r>
        <w:t xml:space="preserve"> </w:t>
      </w:r>
      <w:r>
        <w:t xml:space="preserve">текст массовой операции выбирается по текущему режиму, а пустой набор экземпляров проверяется счетчиком выбранных записей.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29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29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29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29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29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29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29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29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29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29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29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0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0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0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7"/>
    <w:bookmarkStart w:id="71" w:name="i128-1356-сортировка-результатов-поиска"/>
    <w:p>
      <w:pPr>
        <w:pStyle w:val="Heading2"/>
      </w:pPr>
      <w:r>
        <w:t xml:space="preserve">[I128-1356] Сортировка результатов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14:59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странице результатов поиска не применялась выбранная сортировка в Bootstrap- и ExtJS-интерфейсах.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Восстановлено применение параметров сортировки в Native-провайдере поиска. Результаты теперь сортируются до разбиения на страницы, поэтому выбранный порядок сохраняется при переходе по страницам.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Исправлена обработка</w:t>
      </w:r>
      <w:r>
        <w:t xml:space="preserve"> </w:t>
      </w:r>
      <w:r>
        <w:rPr>
          <w:rStyle w:val="VerbatimChar"/>
        </w:rPr>
        <w:t xml:space="preserve">SortBy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AscSortDir</w:t>
      </w:r>
      <w:r>
        <w:t xml:space="preserve"> </w:t>
      </w:r>
      <w:r>
        <w:t xml:space="preserve">для общего поиска, полнотекстового поиска и быстрых путей чтения результатов.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2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2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70" w:name="связанные-задачи-1"/>
    <w:p>
      <w:pPr>
        <w:pStyle w:val="Heading3"/>
      </w:pPr>
      <w:r>
        <w:t xml:space="preserve">1. Связанные задачи</w:t>
      </w:r>
    </w:p>
    <w:bookmarkStart w:id="69" w:name="blocks-i128-1209"/>
    <w:p>
      <w:pPr>
        <w:pStyle w:val="Heading4"/>
      </w:pPr>
      <w:r>
        <w:t xml:space="preserve">1.1. 🔗 blocks: I128-1209</w:t>
      </w:r>
    </w:p>
    <w:p>
      <w:pPr>
        <w:pStyle w:val="BlockText"/>
      </w:pPr>
      <w:hyperlink r:id="rId68">
        <w:r>
          <w:rPr>
            <w:rStyle w:val="Hyperlink"/>
            <w:b/>
            <w:bCs/>
          </w:rPr>
          <w:t xml:space="preserve">[I128-1209]</w:t>
        </w:r>
      </w:hyperlink>
      <w:r>
        <w:t xml:space="preserve"> </w:t>
      </w:r>
      <w:r>
        <w:t xml:space="preserve">Сортировка результатов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69"/>
    <w:bookmarkEnd w:id="70"/>
    <w:bookmarkEnd w:id="71"/>
    <w:bookmarkStart w:id="72" w:name="Xd6dde2d83bb8f501d82a20240b7389b1e464844"/>
    <w:p>
      <w:pPr>
        <w:pStyle w:val="Heading2"/>
      </w:pPr>
      <w:r>
        <w:t xml:space="preserve">[I128-969] Ошибка сессии при сохранении записи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сохранении записи в АРМ Каталогизатор после окончания срока действия сессии сообщение об ошибке предлагало повторить сохранение через кнопку</w:t>
      </w:r>
      <w:r>
        <w:t xml:space="preserve"> </w:t>
      </w:r>
      <w:r>
        <w:t xml:space="preserve">“Все равно сохранить”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Для ошибок истекшей сессии и других непреодолимых ошибок сохранения теперь показывается обычное сообщение с кнопкой</w:t>
      </w:r>
      <w:r>
        <w:t xml:space="preserve"> </w:t>
      </w:r>
      <w:r>
        <w:t xml:space="preserve">“Ок”</w:t>
      </w:r>
      <w:r>
        <w:t xml:space="preserve">. Повторное сохранение остается доступно только для преодолимых предупреждений формально-логического контроля.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Обработчик сохранения теперь использует явный признак преодолимой FLC-ошибки, который формируется на сервере. Ошибки без этого признака не получают кнопку повторного сохранения.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2"/>
    <w:bookmarkStart w:id="73" w:name="Xa89892f64dddaf97ac8e9a4f16b74e479866ea7"/>
    <w:p>
      <w:pPr>
        <w:pStyle w:val="Heading2"/>
      </w:pPr>
      <w:r>
        <w:t xml:space="preserve">[I128-2443] Ограничение списка значений в поле ведомственного подчинения организации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Organisations - Организации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карточке организации поле</w:t>
      </w:r>
      <w:r>
        <w:t xml:space="preserve"> </w:t>
      </w:r>
      <w:r>
        <w:t xml:space="preserve">“Ведомственное подчинение (учредитель)”</w:t>
      </w:r>
      <w:r>
        <w:t xml:space="preserve"> </w:t>
      </w:r>
      <w:r>
        <w:t xml:space="preserve">было ограничено заранее заданным списком значений. Если нужного учредителя или ведомства не было в списке, его нельзя было указать в карточке организации без изменения кода.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Поле теперь работает как обычная строка, поэтому в нем можно указать фактическое ведомственное подчинение или учредителя организации без ограничений фиксированного списка.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настройке переменных модуля Organisations для подполя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удален хардкодный список значений и редактор поля заменен с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. Хранение данных в том же подполе сохранено.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3"/>
    <w:bookmarkStart w:id="74" w:name="X6288bb1463bc05a3b626db5576f308778c78d07"/>
    <w:p>
      <w:pPr>
        <w:pStyle w:val="Heading2"/>
      </w:pPr>
      <w:r>
        <w:t xml:space="preserve">[I128-2447] Ошибка открытия результатов поиска ГУНБ при отсутствующей связанной записи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открытии результатов поиска ГУНБ страница могла завершаться критической ошибкой PHP, если для одной из связанных записей внешней библиотеки отсутствовали сохраненные данные CSpider.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Страница больше не падает из-за отсутствующей связанной записи: пустые данные обрабатываются как пустая запись, а вывод результатов продолжается.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modules/Record/__call/SetContentA.inc</w:t>
      </w:r>
      <w:r>
        <w:t xml:space="preserve"> </w:t>
      </w:r>
      <w:r>
        <w:t xml:space="preserve">добавлена нормализация входного содержимого записи: если вместо массива передан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или другое некорректное значение, метод использует пустой массив перед записью в</w:t>
      </w:r>
      <w:r>
        <w:t xml:space="preserve"> </w:t>
      </w:r>
      <w:r>
        <w:rPr>
          <w:rStyle w:val="VerbatimChar"/>
        </w:rPr>
        <w:t xml:space="preserve">ObjectDataRecord::$Content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7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7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7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7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7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7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7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7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7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7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7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8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8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8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4"/>
    <w:bookmarkStart w:id="78" w:name="Xa0dc0ed38f744e210f86351b642520e4826f03a"/>
    <w:p>
      <w:pPr>
        <w:pStyle w:val="Heading2"/>
      </w:pPr>
      <w:r>
        <w:t xml:space="preserve">[I128-2373] Статистика книговыдачи по месту выдачи могла не пересчитываться в очереди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14:44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фоновом пересчете статистики книговыдачи по месту выдачи задача очереди могла завершаться ошибкой получения списка переменных.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восстановлена совместимость с сохраненными группами статистики, где функция переменных была записана в старом формате.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обработка статистических групп теперь одинаково поддерживает старый путевой формат имени функции и текущий формат внешних методов модуля.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9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9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9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9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9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9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9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9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9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9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9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0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0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0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77" w:name="связанные-задачи-2"/>
    <w:p>
      <w:pPr>
        <w:pStyle w:val="Heading3"/>
      </w:pPr>
      <w:r>
        <w:t xml:space="preserve">1. Связанные задачи</w:t>
      </w:r>
    </w:p>
    <w:bookmarkStart w:id="76" w:name="blocks-etdr-98"/>
    <w:p>
      <w:pPr>
        <w:pStyle w:val="Heading4"/>
      </w:pPr>
      <w:r>
        <w:t xml:space="preserve">1.1. 🔗 blocks: ETDR-98</w:t>
      </w:r>
    </w:p>
    <w:p>
      <w:pPr>
        <w:pStyle w:val="BlockText"/>
      </w:pPr>
      <w:hyperlink r:id="rId75">
        <w:r>
          <w:rPr>
            <w:rStyle w:val="Hyperlink"/>
            <w:b/>
            <w:bCs/>
          </w:rPr>
          <w:t xml:space="preserve">[ETDR-98]</w:t>
        </w:r>
      </w:hyperlink>
      <w:r>
        <w:t xml:space="preserve"> </w:t>
      </w:r>
      <w:r>
        <w:t xml:space="preserve">Stat/UpdateStatGroup в очереди уходит в fatal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76"/>
    <w:bookmarkEnd w:id="77"/>
    <w:bookmarkEnd w:id="78"/>
    <w:bookmarkStart w:id="82" w:name="Xdde4be659f4739a9dde6a7511c6b19adf40d60e"/>
    <w:p>
      <w:pPr>
        <w:pStyle w:val="Heading2"/>
      </w:pPr>
      <w:r>
        <w:t xml:space="preserve">[I128-2442] Ошибка очереди при автоматическом расчете статистики CSpider по организациям и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14:42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автоматическом расчете статистики CSpider через очередь действие Stat/GetStatParam могло завершаться ошибкой для показателей количества организаций и баз данных. Из-за этого значения статистики не собирались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Фоновый расчет этих показателей теперь корректно запускает перебор записей организаций и не останавливается из-за ошибки подготовки параметров перебора.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функциях CSpider Stat</w:t>
      </w:r>
      <w:r>
        <w:rPr>
          <w:i/>
          <w:iCs/>
        </w:rPr>
        <w:t xml:space="preserve">General</w:t>
      </w:r>
      <w:r>
        <w:t xml:space="preserve">DatabaseCount и Stat</w:t>
      </w:r>
      <w:r>
        <w:rPr>
          <w:i/>
          <w:iCs/>
        </w:rPr>
        <w:t xml:space="preserve">General</w:t>
      </w:r>
      <w:r>
        <w:t xml:space="preserve">OrganisationCount перед вызовом i128f::ForEachRecord явно инициализирован массив параметров $FER_opts. Логика подсчета организаций и баз данных не менялась.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2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2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81" w:name="связанные-задачи-3"/>
    <w:p>
      <w:pPr>
        <w:pStyle w:val="Heading3"/>
      </w:pPr>
      <w:r>
        <w:t xml:space="preserve">1. Связанные задачи</w:t>
      </w:r>
    </w:p>
    <w:bookmarkStart w:id="80" w:name="blocks-etdr-114"/>
    <w:p>
      <w:pPr>
        <w:pStyle w:val="Heading4"/>
      </w:pPr>
      <w:r>
        <w:t xml:space="preserve">1.1. 🔗 blocks: ETDR-114</w:t>
      </w:r>
    </w:p>
    <w:p>
      <w:pPr>
        <w:pStyle w:val="BlockText"/>
      </w:pPr>
      <w:hyperlink r:id="rId79">
        <w:r>
          <w:rPr>
            <w:rStyle w:val="Hyperlink"/>
            <w:b/>
            <w:bCs/>
          </w:rPr>
          <w:t xml:space="preserve">[ETDR-114]</w:t>
        </w:r>
      </w:hyperlink>
      <w:r>
        <w:t xml:space="preserve"> </w:t>
      </w:r>
      <w:r>
        <w:t xml:space="preserve">Stat/GetStatParam ошибка в очереди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80"/>
    <w:bookmarkEnd w:id="81"/>
    <w:bookmarkEnd w:id="82"/>
    <w:bookmarkStart w:id="83" w:name="X44cea4e250d9ee5ce82b02c4253c3ef725ff05c"/>
    <w:p>
      <w:pPr>
        <w:pStyle w:val="Heading2"/>
      </w:pPr>
      <w:r>
        <w:t xml:space="preserve">[I128-2338]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UsersBooklist - Подборки книг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кнопка создания новой подборки могла не открывать рабочий сценарий создания или завершаться ошибкой, из-за чего пользователь не мог добавить новую подборку в личном кабинете.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снова выполняется через штатное модальное окно: пользователь вводит название, система создает подборку для текущего владельца и после обновления страницы новая подборка доступна в списке.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Исправлены регистрозависимые пути подключения JavaScript, имя action создания подборки, имя контейнера формата и ссылка просмотра подборки. При создании и редактировании подборки в</w:t>
      </w:r>
      <w:r>
        <w:t xml:space="preserve"> </w:t>
      </w:r>
      <w:r>
        <w:rPr>
          <w:rStyle w:val="VerbatimChar"/>
        </w:rPr>
        <w:t xml:space="preserve">ObjectLinkSid</w:t>
      </w:r>
      <w:r>
        <w:t xml:space="preserve"> </w:t>
      </w:r>
      <w:r>
        <w:t xml:space="preserve">теперь передается SID текущего пользователя вместо жестко заданного значения.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83"/>
    <w:bookmarkStart w:id="87" w:name="X220dd9099a3b9b321bbf47e5291077627567bae"/>
    <w:p>
      <w:pPr>
        <w:pStyle w:val="Heading2"/>
      </w:pPr>
      <w:r>
        <w:t xml:space="preserve">[I128-2446] Ошибка загрузки словаря в АРМ Каталогизаторе при открытии панели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Каталогизаторе при открытии страницы или работе с панелью поиска мог не загружаться словарь. Клиентский сценарий панели поиска прерывался при раннем расчете ширины поля ключа до полной отрисовки панели.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Панель поиска продолжает открываться без клиентской ошибки, а поле ключа подстраивается по ширине после отрисовки. Загрузка словаря больше не прерывается из-за раннего расчета размеров.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modules/WIrbis/JS/irbis-search.js</w:t>
      </w:r>
      <w:r>
        <w:t xml:space="preserve"> </w:t>
      </w:r>
      <w:r>
        <w:t xml:space="preserve">добавлена проверка готовности контейнера перед вызовом</w:t>
      </w:r>
      <w:r>
        <w:t xml:space="preserve"> </w:t>
      </w:r>
      <w:r>
        <w:rPr>
          <w:rStyle w:val="VerbatimChar"/>
        </w:rPr>
        <w:t xml:space="preserve">getWidth()</w:t>
      </w:r>
      <w:r>
        <w:t xml:space="preserve"> </w:t>
      </w:r>
      <w:r>
        <w:t xml:space="preserve">в обработчике</w:t>
      </w:r>
      <w:r>
        <w:t xml:space="preserve"> </w:t>
      </w:r>
      <w:r>
        <w:rPr>
          <w:rStyle w:val="VerbatimChar"/>
        </w:rPr>
        <w:t xml:space="preserve">beforerender</w:t>
      </w:r>
      <w:r>
        <w:t xml:space="preserve">; основная адаптация ширины остается в существующих обработчиках</w:t>
      </w:r>
      <w:r>
        <w:t xml:space="preserve"> </w:t>
      </w:r>
      <w:r>
        <w:rPr>
          <w:rStyle w:val="VerbatimChar"/>
        </w:rPr>
        <w:t xml:space="preserve">afterrender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afterlayout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86" w:name="связанные-задачи-4"/>
    <w:p>
      <w:pPr>
        <w:pStyle w:val="Heading3"/>
      </w:pPr>
      <w:r>
        <w:t xml:space="preserve">1. Связанные задачи</w:t>
      </w:r>
    </w:p>
    <w:bookmarkStart w:id="85" w:name="blocks-etdr-115"/>
    <w:p>
      <w:pPr>
        <w:pStyle w:val="Heading4"/>
      </w:pPr>
      <w:r>
        <w:t xml:space="preserve">1.1. 🔗 blocks: ETDR-115</w:t>
      </w:r>
    </w:p>
    <w:p>
      <w:pPr>
        <w:pStyle w:val="BlockText"/>
      </w:pPr>
      <w:hyperlink r:id="rId84">
        <w:r>
          <w:rPr>
            <w:rStyle w:val="Hyperlink"/>
            <w:b/>
            <w:bCs/>
          </w:rPr>
          <w:t xml:space="preserve">[ETDR-115]</w:t>
        </w:r>
      </w:hyperlink>
      <w:r>
        <w:t xml:space="preserve"> </w:t>
      </w:r>
      <w:r>
        <w:t xml:space="preserve">словарь не загружается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85"/>
    <w:bookmarkEnd w:id="86"/>
    <w:bookmarkEnd w:id="87"/>
    <w:bookmarkStart w:id="88" w:name="X7657bd1b4f1b400c2cec1ba52375fba2450876c"/>
    <w:p>
      <w:pPr>
        <w:pStyle w:val="Heading2"/>
      </w:pPr>
      <w:r>
        <w:t xml:space="preserve">[I128-676] Документация по электронной библиотеке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15:02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FT/Root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FT/UserGuide/index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FT/UserGuide/Manage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Help-документация модуля «Электронная библиотека».</w:t>
      </w:r>
    </w:p>
    <w:p>
      <w:pPr>
        <w:pStyle w:val="BodyText"/>
      </w:pPr>
      <w:r>
        <w:t xml:space="preserve">Корневой раздел теперь кратко объясняет назначение модуля FT и разделяет маршруты администратора и пользователя.</w:t>
      </w:r>
    </w:p>
    <w:p>
      <w:pPr>
        <w:pStyle w:val="BodyText"/>
      </w:pPr>
      <w:r>
        <w:t xml:space="preserve">В руководство пользователя добавлен вводный маршрут по основным сценариям: регистрация электронного издания, управление документами, обработка, просмотр полных текстов и статистика.</w:t>
      </w:r>
    </w:p>
    <w:p>
      <w:pPr>
        <w:pStyle w:val="BodyText"/>
      </w:pPr>
      <w:r>
        <w:t xml:space="preserve">В разделе «Управление документами» подробно описаны кнопки действий карточки документа: индексирование, добавление ссылки на полный текст в библиографическое описание, подготовка просмотрщика, обновление полнотекстового индекса ИРБИС 64 и транскрибация медиафайлов.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8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8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8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8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8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8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8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8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8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8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8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9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9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9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FT/Root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FT/UserGuide/index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FT/UserGuide/Manage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Help-документация модуля «Электронная библиотека».</w:t>
      </w:r>
    </w:p>
    <w:p>
      <w:pPr>
        <w:pStyle w:val="BodyText"/>
      </w:pPr>
      <w:r>
        <w:t xml:space="preserve">Корневой раздел теперь кратко объясняет назначение модуля FT и разделяет маршруты администратора и пользователя.</w:t>
      </w:r>
    </w:p>
    <w:p>
      <w:pPr>
        <w:pStyle w:val="BodyText"/>
      </w:pPr>
      <w:r>
        <w:t xml:space="preserve">В руководство пользователя добавлен вводный маршрут по основным сценариям: регистрация электронного издания, управление документами, обработка, просмотр полных текстов и статистика.</w:t>
      </w:r>
    </w:p>
    <w:p>
      <w:pPr>
        <w:pStyle w:val="BodyText"/>
      </w:pPr>
      <w:r>
        <w:t xml:space="preserve">В разделе «Управление документами» подробно описаны кнопки действий карточки документа: индексирование, добавление ссылки на полный текст в библиографическое описание, подготовка просмотрщика, обновление полнотекстового индекса ИРБИС 64 и транскрибация медиафайлов.</w:t>
      </w:r>
    </w:p>
    <w:bookmarkEnd w:id="88"/>
    <w:bookmarkEnd w:id="8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9" Target="?id=Help/Show&amp;m=Help/GeneralDescription/WhatsNew/I128/TaskInfo/ETDR-114/README" TargetMode="External" /><Relationship Type="http://schemas.openxmlformats.org/officeDocument/2006/relationships/hyperlink" Id="rId84" Target="?id=Help/Show&amp;m=Help/GeneralDescription/WhatsNew/I128/TaskInfo/ETDR-115/README" TargetMode="External" /><Relationship Type="http://schemas.openxmlformats.org/officeDocument/2006/relationships/hyperlink" Id="rId75" Target="?id=Help/Show&amp;m=Help/GeneralDescription/WhatsNew/I128/TaskInfo/ETDR-98/README" TargetMode="External" /><Relationship Type="http://schemas.openxmlformats.org/officeDocument/2006/relationships/hyperlink" Id="rId68" Target="?id=Help/Show&amp;m=Help/GeneralDescription/WhatsNew/I128/TaskInfo/I128-1209/README" TargetMode="External" /><Relationship Type="http://schemas.openxmlformats.org/officeDocument/2006/relationships/hyperlink" Id="rId21" Target="?id=Help/Show&amp;m=Help/GeneralDescription/WhatsNew/I128/TaskInfo/I128-1356/README" TargetMode="External" /><Relationship Type="http://schemas.openxmlformats.org/officeDocument/2006/relationships/hyperlink" Id="rId18" Target="?id=Help/Show&amp;m=Help/GeneralDescription/WhatsNew/I128/TaskInfo/I128-1714/README" TargetMode="External" /><Relationship Type="http://schemas.openxmlformats.org/officeDocument/2006/relationships/hyperlink" Id="rId9" Target="?id=Help/Show&amp;m=Help/GeneralDescription/WhatsNew/I128/TaskInfo/I128-1745/README" TargetMode="External" /><Relationship Type="http://schemas.openxmlformats.org/officeDocument/2006/relationships/hyperlink" Id="rId37" Target="?id=Help/Show&amp;m=Help/GeneralDescription/WhatsNew/I128/TaskInfo/I128-2338/README" TargetMode="External" /><Relationship Type="http://schemas.openxmlformats.org/officeDocument/2006/relationships/hyperlink" Id="rId33" Target="?id=Help/Show&amp;m=Help/GeneralDescription/WhatsNew/I128/TaskInfo/I128-2373/README" TargetMode="External" /><Relationship Type="http://schemas.openxmlformats.org/officeDocument/2006/relationships/hyperlink" Id="rId10" Target="?id=Help/Show&amp;m=Help/GeneralDescription/WhatsNew/I128/TaskInfo/I128-2437/README" TargetMode="External" /><Relationship Type="http://schemas.openxmlformats.org/officeDocument/2006/relationships/hyperlink" Id="rId34" Target="?id=Help/Show&amp;m=Help/GeneralDescription/WhatsNew/I128/TaskInfo/I128-2442/README" TargetMode="External" /><Relationship Type="http://schemas.openxmlformats.org/officeDocument/2006/relationships/hyperlink" Id="rId27" Target="?id=Help/Show&amp;m=Help/GeneralDescription/WhatsNew/I128/TaskInfo/I128-2443/README" TargetMode="External" /><Relationship Type="http://schemas.openxmlformats.org/officeDocument/2006/relationships/hyperlink" Id="rId40" Target="?id=Help/Show&amp;m=Help/GeneralDescription/WhatsNew/I128/TaskInfo/I128-2446/README" TargetMode="External" /><Relationship Type="http://schemas.openxmlformats.org/officeDocument/2006/relationships/hyperlink" Id="rId30" Target="?id=Help/Show&amp;m=Help/GeneralDescription/WhatsNew/I128/TaskInfo/I128-2447/README" TargetMode="External" /><Relationship Type="http://schemas.openxmlformats.org/officeDocument/2006/relationships/hyperlink" Id="rId16" Target="?id=Help/Show&amp;m=Help/GeneralDescription/WhatsNew/I128/TaskInfo/I128-577/README" TargetMode="External" /><Relationship Type="http://schemas.openxmlformats.org/officeDocument/2006/relationships/hyperlink" Id="rId43" Target="?id=Help/Show&amp;m=Help/GeneralDescription/WhatsNew/I128/TaskInfo/I128-676/README" TargetMode="External" /><Relationship Type="http://schemas.openxmlformats.org/officeDocument/2006/relationships/hyperlink" Id="rId62" Target="?id=Help/Show&amp;m=Help/GeneralDescription/WhatsNew/I128/TaskInfo/I128-733/README" TargetMode="External" /><Relationship Type="http://schemas.openxmlformats.org/officeDocument/2006/relationships/hyperlink" Id="rId13" Target="?id=Help/Show&amp;m=Help/GeneralDescription/WhatsNew/I128/TaskInfo/I128-736/README" TargetMode="External" /><Relationship Type="http://schemas.openxmlformats.org/officeDocument/2006/relationships/hyperlink" Id="rId24" Target="?id=Help/Show&amp;m=Help/GeneralDescription/WhatsNew/I128/TaskInfo/I128-969/README" TargetMode="External" /><Relationship Type="http://schemas.openxmlformats.org/officeDocument/2006/relationships/hyperlink" Id="rId47" Target="I128~~1356" TargetMode="External" /><Relationship Type="http://schemas.openxmlformats.org/officeDocument/2006/relationships/hyperlink" Id="rId48" Target="I128~~1714" TargetMode="External" /><Relationship Type="http://schemas.openxmlformats.org/officeDocument/2006/relationships/hyperlink" Id="rId49" Target="I128~~1745" TargetMode="External" /><Relationship Type="http://schemas.openxmlformats.org/officeDocument/2006/relationships/hyperlink" Id="rId50" Target="I128~~2338" TargetMode="External" /><Relationship Type="http://schemas.openxmlformats.org/officeDocument/2006/relationships/hyperlink" Id="rId51" Target="I128~~2373" TargetMode="External" /><Relationship Type="http://schemas.openxmlformats.org/officeDocument/2006/relationships/hyperlink" Id="rId52" Target="I128~~2437" TargetMode="External" /><Relationship Type="http://schemas.openxmlformats.org/officeDocument/2006/relationships/hyperlink" Id="rId53" Target="I128~~2442" TargetMode="External" /><Relationship Type="http://schemas.openxmlformats.org/officeDocument/2006/relationships/hyperlink" Id="rId54" Target="I128~~2443" TargetMode="External" /><Relationship Type="http://schemas.openxmlformats.org/officeDocument/2006/relationships/hyperlink" Id="rId55" Target="I128~~2446" TargetMode="External" /><Relationship Type="http://schemas.openxmlformats.org/officeDocument/2006/relationships/hyperlink" Id="rId56" Target="I128~~2447" TargetMode="External" /><Relationship Type="http://schemas.openxmlformats.org/officeDocument/2006/relationships/hyperlink" Id="rId57" Target="I128~~577" TargetMode="External" /><Relationship Type="http://schemas.openxmlformats.org/officeDocument/2006/relationships/hyperlink" Id="rId58" Target="I128~~676" TargetMode="External" /><Relationship Type="http://schemas.openxmlformats.org/officeDocument/2006/relationships/hyperlink" Id="rId59" Target="I128~~736" TargetMode="External" /><Relationship Type="http://schemas.openxmlformats.org/officeDocument/2006/relationships/hyperlink" Id="rId46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9" Target="?id=Help/Show&amp;m=Help/GeneralDescription/WhatsNew/I128/TaskInfo/ETDR-114/README" TargetMode="External" /><Relationship Type="http://schemas.openxmlformats.org/officeDocument/2006/relationships/hyperlink" Id="rId84" Target="?id=Help/Show&amp;m=Help/GeneralDescription/WhatsNew/I128/TaskInfo/ETDR-115/README" TargetMode="External" /><Relationship Type="http://schemas.openxmlformats.org/officeDocument/2006/relationships/hyperlink" Id="rId75" Target="?id=Help/Show&amp;m=Help/GeneralDescription/WhatsNew/I128/TaskInfo/ETDR-98/README" TargetMode="External" /><Relationship Type="http://schemas.openxmlformats.org/officeDocument/2006/relationships/hyperlink" Id="rId68" Target="?id=Help/Show&amp;m=Help/GeneralDescription/WhatsNew/I128/TaskInfo/I128-1209/README" TargetMode="External" /><Relationship Type="http://schemas.openxmlformats.org/officeDocument/2006/relationships/hyperlink" Id="rId21" Target="?id=Help/Show&amp;m=Help/GeneralDescription/WhatsNew/I128/TaskInfo/I128-1356/README" TargetMode="External" /><Relationship Type="http://schemas.openxmlformats.org/officeDocument/2006/relationships/hyperlink" Id="rId18" Target="?id=Help/Show&amp;m=Help/GeneralDescription/WhatsNew/I128/TaskInfo/I128-1714/README" TargetMode="External" /><Relationship Type="http://schemas.openxmlformats.org/officeDocument/2006/relationships/hyperlink" Id="rId9" Target="?id=Help/Show&amp;m=Help/GeneralDescription/WhatsNew/I128/TaskInfo/I128-1745/README" TargetMode="External" /><Relationship Type="http://schemas.openxmlformats.org/officeDocument/2006/relationships/hyperlink" Id="rId37" Target="?id=Help/Show&amp;m=Help/GeneralDescription/WhatsNew/I128/TaskInfo/I128-2338/README" TargetMode="External" /><Relationship Type="http://schemas.openxmlformats.org/officeDocument/2006/relationships/hyperlink" Id="rId33" Target="?id=Help/Show&amp;m=Help/GeneralDescription/WhatsNew/I128/TaskInfo/I128-2373/README" TargetMode="External" /><Relationship Type="http://schemas.openxmlformats.org/officeDocument/2006/relationships/hyperlink" Id="rId10" Target="?id=Help/Show&amp;m=Help/GeneralDescription/WhatsNew/I128/TaskInfo/I128-2437/README" TargetMode="External" /><Relationship Type="http://schemas.openxmlformats.org/officeDocument/2006/relationships/hyperlink" Id="rId34" Target="?id=Help/Show&amp;m=Help/GeneralDescription/WhatsNew/I128/TaskInfo/I128-2442/README" TargetMode="External" /><Relationship Type="http://schemas.openxmlformats.org/officeDocument/2006/relationships/hyperlink" Id="rId27" Target="?id=Help/Show&amp;m=Help/GeneralDescription/WhatsNew/I128/TaskInfo/I128-2443/README" TargetMode="External" /><Relationship Type="http://schemas.openxmlformats.org/officeDocument/2006/relationships/hyperlink" Id="rId40" Target="?id=Help/Show&amp;m=Help/GeneralDescription/WhatsNew/I128/TaskInfo/I128-2446/README" TargetMode="External" /><Relationship Type="http://schemas.openxmlformats.org/officeDocument/2006/relationships/hyperlink" Id="rId30" Target="?id=Help/Show&amp;m=Help/GeneralDescription/WhatsNew/I128/TaskInfo/I128-2447/README" TargetMode="External" /><Relationship Type="http://schemas.openxmlformats.org/officeDocument/2006/relationships/hyperlink" Id="rId16" Target="?id=Help/Show&amp;m=Help/GeneralDescription/WhatsNew/I128/TaskInfo/I128-577/README" TargetMode="External" /><Relationship Type="http://schemas.openxmlformats.org/officeDocument/2006/relationships/hyperlink" Id="rId43" Target="?id=Help/Show&amp;m=Help/GeneralDescription/WhatsNew/I128/TaskInfo/I128-676/README" TargetMode="External" /><Relationship Type="http://schemas.openxmlformats.org/officeDocument/2006/relationships/hyperlink" Id="rId62" Target="?id=Help/Show&amp;m=Help/GeneralDescription/WhatsNew/I128/TaskInfo/I128-733/README" TargetMode="External" /><Relationship Type="http://schemas.openxmlformats.org/officeDocument/2006/relationships/hyperlink" Id="rId13" Target="?id=Help/Show&amp;m=Help/GeneralDescription/WhatsNew/I128/TaskInfo/I128-736/README" TargetMode="External" /><Relationship Type="http://schemas.openxmlformats.org/officeDocument/2006/relationships/hyperlink" Id="rId24" Target="?id=Help/Show&amp;m=Help/GeneralDescription/WhatsNew/I128/TaskInfo/I128-969/README" TargetMode="External" /><Relationship Type="http://schemas.openxmlformats.org/officeDocument/2006/relationships/hyperlink" Id="rId47" Target="I128~~1356" TargetMode="External" /><Relationship Type="http://schemas.openxmlformats.org/officeDocument/2006/relationships/hyperlink" Id="rId48" Target="I128~~1714" TargetMode="External" /><Relationship Type="http://schemas.openxmlformats.org/officeDocument/2006/relationships/hyperlink" Id="rId49" Target="I128~~1745" TargetMode="External" /><Relationship Type="http://schemas.openxmlformats.org/officeDocument/2006/relationships/hyperlink" Id="rId50" Target="I128~~2338" TargetMode="External" /><Relationship Type="http://schemas.openxmlformats.org/officeDocument/2006/relationships/hyperlink" Id="rId51" Target="I128~~2373" TargetMode="External" /><Relationship Type="http://schemas.openxmlformats.org/officeDocument/2006/relationships/hyperlink" Id="rId52" Target="I128~~2437" TargetMode="External" /><Relationship Type="http://schemas.openxmlformats.org/officeDocument/2006/relationships/hyperlink" Id="rId53" Target="I128~~2442" TargetMode="External" /><Relationship Type="http://schemas.openxmlformats.org/officeDocument/2006/relationships/hyperlink" Id="rId54" Target="I128~~2443" TargetMode="External" /><Relationship Type="http://schemas.openxmlformats.org/officeDocument/2006/relationships/hyperlink" Id="rId55" Target="I128~~2446" TargetMode="External" /><Relationship Type="http://schemas.openxmlformats.org/officeDocument/2006/relationships/hyperlink" Id="rId56" Target="I128~~2447" TargetMode="External" /><Relationship Type="http://schemas.openxmlformats.org/officeDocument/2006/relationships/hyperlink" Id="rId57" Target="I128~~577" TargetMode="External" /><Relationship Type="http://schemas.openxmlformats.org/officeDocument/2006/relationships/hyperlink" Id="rId58" Target="I128~~676" TargetMode="External" /><Relationship Type="http://schemas.openxmlformats.org/officeDocument/2006/relationships/hyperlink" Id="rId59" Target="I128~~736" TargetMode="External" /><Relationship Type="http://schemas.openxmlformats.org/officeDocument/2006/relationships/hyperlink" Id="rId46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2026.2.2</dc:title>
  <dc:creator/>
  <cp:keywords/>
  <dcterms:created xsi:type="dcterms:W3CDTF">2026-10-31T04:24:56Z</dcterms:created>
  <dcterms:modified xsi:type="dcterms:W3CDTF">2026-10-31T04:24:56Z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