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Провайдер логического объединения нескольких БД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X5c01499f394fcdefd7ae1d9e59ff79d7acbf8b0"/>
    <w:p>
      <w:pPr>
        <w:pStyle w:val="Heading1"/>
      </w:pPr>
      <w:r>
        <w:t xml:space="preserve">Провайдер логического объединения нескольких БД</w:t>
      </w:r>
    </w:p>
    <w:p>
      <w:pPr>
        <w:pStyle w:val="FirstParagraph"/>
      </w:pPr>
      <w:r>
        <w:t xml:space="preserve">DP_raidb0 - провайдер данных, который объединяет несколько физических баз в одну логическую базу. Модуль распределяет поиск, чтение, форматирование и запись между настроенными подчиненными БД, а внешним пользователям возвращает единый список результатов с составными MFN вида</w:t>
      </w:r>
      <w:r>
        <w:t xml:space="preserve"> </w:t>
      </w:r>
      <w:r>
        <w:rPr>
          <w:rStyle w:val="VerbatimChar"/>
        </w:rPr>
        <w:t xml:space="preserve">dbid/mfn</w:t>
      </w:r>
      <w:r>
        <w:t xml:space="preserve">.</w:t>
      </w:r>
    </w:p>
    <w:bookmarkStart w:id="9" w:name="назначение-и-состав-функций"/>
    <w:p>
      <w:pPr>
        <w:pStyle w:val="Heading2"/>
      </w:pPr>
      <w:r>
        <w:t xml:space="preserve">Назначение и состав функций</w:t>
      </w:r>
    </w:p>
    <w:p>
      <w:pPr>
        <w:pStyle w:val="FirstParagraph"/>
      </w:pPr>
      <w:r>
        <w:t xml:space="preserve">Модуль DP_raidb0 используется для логического объединения нескольких баз данных в одну виртуальную базу. В настройках провайдера задается список подчиненных БД, веса чтения и записи. При поиске модуль последовательно обращается к подчиненным базам, суммирует количество найденных записей и маркирует MFN префиксом базы. При чтении и записи составной MFN разбирается обратно на</w:t>
      </w:r>
      <w:r>
        <w:t xml:space="preserve"> </w:t>
      </w:r>
      <w:r>
        <w:rPr>
          <w:rStyle w:val="VerbatimChar"/>
        </w:rPr>
        <w:t xml:space="preserve">dbid</w:t>
      </w:r>
      <w:r>
        <w:t xml:space="preserve"> </w:t>
      </w:r>
      <w:r>
        <w:t xml:space="preserve">и локальный</w:t>
      </w:r>
      <w:r>
        <w:t xml:space="preserve"> </w:t>
      </w:r>
      <w:r>
        <w:rPr>
          <w:rStyle w:val="VerbatimChar"/>
        </w:rPr>
        <w:t xml:space="preserve">mfn</w:t>
      </w:r>
      <w:r>
        <w:t xml:space="preserve">.</w:t>
      </w:r>
    </w:p>
    <w:p>
      <w:pPr>
        <w:pStyle w:val="BodyText"/>
      </w:pPr>
      <w:r>
        <w:t xml:space="preserve">Основные параметры секции</w:t>
      </w:r>
      <w:r>
        <w:t xml:space="preserve"> </w:t>
      </w:r>
      <w:r>
        <w:rPr>
          <w:rStyle w:val="VerbatimChar"/>
        </w:rPr>
        <w:t xml:space="preserve">PROVIDER</w:t>
      </w:r>
      <w:r>
        <w:t xml:space="preserve">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SUBDBS_COUNT</w:t>
      </w:r>
      <w:r>
        <w:t xml:space="preserve"> </w:t>
      </w:r>
      <w:r>
        <w:t xml:space="preserve">- количество подчиненных баз.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SUBDBSCFG_N_NAME</w:t>
      </w:r>
      <w:r>
        <w:t xml:space="preserve"> </w:t>
      </w:r>
      <w:r>
        <w:t xml:space="preserve">- идентификатор подчиненной базы; имя с префиксом</w:t>
      </w:r>
      <w:r>
        <w:t xml:space="preserve"> </w:t>
      </w:r>
      <w:r>
        <w:rPr>
          <w:rStyle w:val="VerbatimChar"/>
        </w:rPr>
        <w:t xml:space="preserve">-</w:t>
      </w:r>
      <w:r>
        <w:t xml:space="preserve"> </w:t>
      </w:r>
      <w:r>
        <w:t xml:space="preserve">исключает базу из записи.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SUBDBSCFG_N_READWEIGHT</w:t>
      </w:r>
      <w:r>
        <w:t xml:space="preserve"> </w:t>
      </w:r>
      <w:r>
        <w:t xml:space="preserve">- вес базы при чтении и поиске.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SUBDBSCFG_N_WRITEWEIGHT</w:t>
      </w:r>
      <w:r>
        <w:t xml:space="preserve"> </w:t>
      </w:r>
      <w:r>
        <w:t xml:space="preserve">- вес базы при распределении новых записей.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TIMEOUT</w:t>
      </w:r>
      <w:r>
        <w:t xml:space="preserve">,</w:t>
      </w:r>
      <w:r>
        <w:t xml:space="preserve"> </w:t>
      </w:r>
      <w:r>
        <w:rPr>
          <w:rStyle w:val="VerbatimChar"/>
        </w:rPr>
        <w:t xml:space="preserve">SRCPREFIX</w:t>
      </w:r>
      <w:r>
        <w:t xml:space="preserve">,</w:t>
      </w:r>
      <w:r>
        <w:t xml:space="preserve"> </w:t>
      </w:r>
      <w:r>
        <w:rPr>
          <w:rStyle w:val="VerbatimChar"/>
        </w:rPr>
        <w:t xml:space="preserve">SRCPOSTFIX</w:t>
      </w:r>
      <w:r>
        <w:t xml:space="preserve"> </w:t>
      </w:r>
      <w:r>
        <w:t xml:space="preserve">- общие параметры провайдера.</w:t>
      </w:r>
    </w:p>
    <w:p>
      <w:pPr>
        <w:pStyle w:val="FirstParagraph"/>
      </w:pPr>
      <w:r>
        <w:t xml:space="preserve">Дополнительно может использоваться глобальная настройка</w:t>
      </w:r>
      <w:r>
        <w:t xml:space="preserve"> </w:t>
      </w:r>
      <w:r>
        <w:rPr>
          <w:rStyle w:val="VerbatimChar"/>
        </w:rPr>
        <w:t xml:space="preserve">OPTIONS['BindSearches']</w:t>
      </w:r>
      <w:r>
        <w:t xml:space="preserve">: она ограничивает список подчиненных БД для отдельных поисковых выражений.</w:t>
      </w:r>
    </w:p>
    <w:p>
      <w:pPr>
        <w:pStyle w:val="BodyText"/>
      </w:pPr>
      <w:r>
        <w:t xml:space="preserve">Основные функции:</w:t>
      </w:r>
    </w:p>
    <w:p>
      <w:pPr>
        <w:pStyle w:val="Compact"/>
        <w:numPr>
          <w:ilvl w:val="0"/>
          <w:numId w:val="1002"/>
        </w:numPr>
      </w:pPr>
      <w:r>
        <w:t xml:space="preserve">Инициализация и состояние:</w:t>
      </w:r>
      <w:r>
        <w:t xml:space="preserve"> </w:t>
      </w:r>
      <w:r>
        <w:rPr>
          <w:rStyle w:val="VerbatimChar"/>
        </w:rPr>
        <w:t xml:space="preserve">InitProvider</w:t>
      </w:r>
      <w:r>
        <w:t xml:space="preserve">,</w:t>
      </w:r>
      <w:r>
        <w:t xml:space="preserve"> </w:t>
      </w:r>
      <w:r>
        <w:rPr>
          <w:rStyle w:val="VerbatimChar"/>
        </w:rPr>
        <w:t xml:space="preserve">Connect</w:t>
      </w:r>
      <w:r>
        <w:t xml:space="preserve">,</w:t>
      </w:r>
      <w:r>
        <w:t xml:space="preserve"> </w:t>
      </w:r>
      <w:r>
        <w:rPr>
          <w:rStyle w:val="VerbatimChar"/>
        </w:rPr>
        <w:t xml:space="preserve">Disconnect</w:t>
      </w:r>
      <w:r>
        <w:t xml:space="preserve">,</w:t>
      </w:r>
      <w:r>
        <w:t xml:space="preserve"> </w:t>
      </w:r>
      <w:r>
        <w:rPr>
          <w:rStyle w:val="VerbatimChar"/>
        </w:rPr>
        <w:t xml:space="preserve">NoOperation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exception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CallOwnerFunction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Выбор баз и идентификаторов:</w:t>
      </w:r>
      <w:r>
        <w:t xml:space="preserve"> </w:t>
      </w:r>
      <w:r>
        <w:rPr>
          <w:rStyle w:val="VerbatimChar"/>
        </w:rPr>
        <w:t xml:space="preserve">GetDbListBySearch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ParseMfn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Поиск:</w:t>
      </w:r>
      <w:r>
        <w:t xml:space="preserve"> </w:t>
      </w:r>
      <w:r>
        <w:rPr>
          <w:rStyle w:val="VerbatimChar"/>
        </w:rPr>
        <w:t xml:space="preserve">RecSearch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GetTermList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Чтение и форматирование:</w:t>
      </w:r>
      <w:r>
        <w:t xml:space="preserve"> </w:t>
      </w:r>
      <w:r>
        <w:rPr>
          <w:rStyle w:val="VerbatimChar"/>
        </w:rPr>
        <w:t xml:space="preserve">RecRead</w:t>
      </w:r>
      <w:r>
        <w:t xml:space="preserve">,</w:t>
      </w:r>
      <w:r>
        <w:t xml:space="preserve"> </w:t>
      </w:r>
      <w:r>
        <w:rPr>
          <w:rStyle w:val="VerbatimChar"/>
        </w:rPr>
        <w:t xml:space="preserve">RecReadAndFormat</w:t>
      </w:r>
      <w:r>
        <w:t xml:space="preserve">,</w:t>
      </w:r>
      <w:r>
        <w:t xml:space="preserve"> </w:t>
      </w:r>
      <w:r>
        <w:rPr>
          <w:rStyle w:val="VerbatimChar"/>
        </w:rPr>
        <w:t xml:space="preserve">RecVirtualFormat</w:t>
      </w:r>
      <w:r>
        <w:t xml:space="preserve">,</w:t>
      </w:r>
      <w:r>
        <w:t xml:space="preserve"> </w:t>
      </w:r>
      <w:r>
        <w:rPr>
          <w:rStyle w:val="VerbatimChar"/>
        </w:rPr>
        <w:t xml:space="preserve">RecIfUpdate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Запись и служебные операции:</w:t>
      </w:r>
      <w:r>
        <w:t xml:space="preserve"> </w:t>
      </w:r>
      <w:r>
        <w:rPr>
          <w:rStyle w:val="VerbatimChar"/>
        </w:rPr>
        <w:t xml:space="preserve">RecWrite</w:t>
      </w:r>
      <w:r>
        <w:t xml:space="preserve">,</w:t>
      </w:r>
      <w:r>
        <w:t xml:space="preserve"> </w:t>
      </w:r>
      <w:r>
        <w:rPr>
          <w:rStyle w:val="VerbatimChar"/>
        </w:rPr>
        <w:t xml:space="preserve">GetMaxMfn</w:t>
      </w:r>
      <w:r>
        <w:t xml:space="preserve">,</w:t>
      </w:r>
      <w:r>
        <w:t xml:space="preserve"> </w:t>
      </w:r>
      <w:r>
        <w:rPr>
          <w:rStyle w:val="VerbatimChar"/>
        </w:rPr>
        <w:t xml:space="preserve">GetFile</w:t>
      </w:r>
      <w:r>
        <w:t xml:space="preserve">,</w:t>
      </w:r>
      <w:r>
        <w:t xml:space="preserve"> </w:t>
      </w:r>
      <w:r>
        <w:rPr>
          <w:rStyle w:val="VerbatimChar"/>
        </w:rPr>
        <w:t xml:space="preserve">SetFile</w:t>
      </w:r>
      <w:r>
        <w:t xml:space="preserve">,</w:t>
      </w:r>
      <w:r>
        <w:t xml:space="preserve"> </w:t>
      </w:r>
      <w:r>
        <w:rPr>
          <w:rStyle w:val="VerbatimChar"/>
        </w:rPr>
        <w:t xml:space="preserve">WriteToIni</w:t>
      </w:r>
      <w:r>
        <w:t xml:space="preserve">.</w:t>
      </w:r>
    </w:p>
    <w:p>
      <w:pPr>
        <w:pStyle w:val="FirstParagraph"/>
      </w:pPr>
      <w:r>
        <w:t xml:space="preserve">Модуль не хранит записи самостоятельно; он маршрутизирует операции в реальные базы через</w:t>
      </w:r>
      <w:r>
        <w:t xml:space="preserve"> </w:t>
      </w:r>
      <w:r>
        <w:rPr>
          <w:rStyle w:val="VerbatimChar"/>
        </w:rPr>
        <w:t xml:space="preserve">i128f-&gt;GetDb()</w:t>
      </w:r>
      <w:r>
        <w:t xml:space="preserve">. Проверки Help не должны выполнять реальные поисковые или записывающие операции в подчиненных БД. Для Help-gate достаточно проверки структуры страниц, синтаксиса PHP, загрузки описаний функций и DOCX-экспорта</w:t>
      </w:r>
      <w:r>
        <w:t xml:space="preserve"> </w:t>
      </w:r>
      <w:r>
        <w:rPr>
          <w:rStyle w:val="VerbatimChar"/>
        </w:rPr>
        <w:t xml:space="preserve">Help/ModuleRoot&amp;module=DP_raidb0</w:t>
      </w:r>
      <w:r>
        <w:t xml:space="preserve">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Провайдер логического объединения нескольких БД</dc:title>
  <dc:creator/>
  <cp:keywords/>
  <dcterms:created xsi:type="dcterms:W3CDTF">2026-11-08T22:29:51Z</dcterms:created>
  <dcterms:modified xsi:type="dcterms:W3CDTF">2026-11-08T22:29:51Z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