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[I128-1815] Применить изменения D3 к версии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c7adb14adda5ed2dc0ee5b2babd8ece98c42c7"/>
    <w:p>
      <w:pPr>
        <w:pStyle w:val="Heading1"/>
      </w:pPr>
      <w:r>
        <w:t xml:space="preserve">[I128-1815] Применить изменения D3 к версии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03.12.2025 11:52</w:t>
      </w:r>
    </w:p>
    <w:p>
      <w:pPr>
        <w:pStyle w:val="BodyText"/>
      </w:pPr>
      <w:r>
        <w:t xml:space="preserve">Проверить необходимость изменений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[I128-1815] Применить изменения D3 к версии 2025</dc:title>
  <dc:creator/>
  <cp:keywords/>
  <dcterms:created xsi:type="dcterms:W3CDTF">2026-11-02T19:01:04Z</dcterms:created>
  <dcterms:modified xsi:type="dcterms:W3CDTF">2026-11-02T19:01:04Z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