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Справочник ГРНТИ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равочник-грнти"/>
    <w:p>
      <w:pPr>
        <w:pStyle w:val="Heading1"/>
      </w:pPr>
      <w:r>
        <w:t xml:space="preserve">Справочник ГРНТИ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GRNTI</w:t>
      </w:r>
      <w:r>
        <w:t xml:space="preserve"> </w:t>
      </w:r>
      <w:r>
        <w:t xml:space="preserve">ведет записи рубрикатора ГРНТИ и предоставляет узлы дерева для выбора тематических рубрик.</w:t>
      </w:r>
    </w:p>
    <w:bookmarkStart w:id="11" w:name="назначение-модуля-grnti"/>
    <w:p>
      <w:pPr>
        <w:pStyle w:val="Heading2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3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Справочник ГРНТИ</dc:title>
  <dc:creator/>
  <cp:keywords/>
  <dcterms:created xsi:type="dcterms:W3CDTF">2026-10-29T23:46:57Z</dcterms:created>
  <dcterms:modified xsi:type="dcterms:W3CDTF">2026-10-29T23:46:57Z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