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индивидуальных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индивидуальных-авторов"/>
    <w:p>
      <w:pPr>
        <w:pStyle w:val="Heading1"/>
      </w:pPr>
      <w:r>
        <w:t xml:space="preserve">Авторитетный файл индивидуальных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ATHRA</w:t>
      </w:r>
      <w:r>
        <w:t xml:space="preserve"> </w:t>
      </w:r>
      <w:r>
        <w:t xml:space="preserve">ведёт авторитетные записи индивидуальных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 открываются через полевой редактор и могут использоваться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индивидуальных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поиска, используемый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GetNewAthra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используются как контролируемый источник имён персональных авторов и связанных вариантов заголовка.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ATHRA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ATHRA</w:t>
      </w:r>
      <w:r>
        <w:t xml:space="preserve"> </w:t>
      </w:r>
      <w:r>
        <w:t xml:space="preserve">используется при выборе индивидуального автора из авторитетного файла, в том числе через метод ввода 10 в записи каталога. Если для автора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заголовка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автора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с заголовком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автора из авторитетного файла перед автором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Автор выбран из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имени автора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автором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A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A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индивидуальных авторов</dc:title>
  <dc:creator/>
  <cp:keywords/>
  <dcterms:created xsi:type="dcterms:W3CDTF">2026-10-30T17:19:39Z</dcterms:created>
  <dcterms:modified xsi:type="dcterms:W3CDTF">2026-10-30T17:19:39Z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