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ATHRA</w:t>
      </w:r>
      <w:r>
        <w:t xml:space="preserve"> </w:t>
      </w:r>
      <w:r>
        <w:t xml:space="preserve">ведёт авторитетные записи индивидуальных авторов.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, открываются через полевой редактор и могут использоваться при нормализации библиографических записей.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DBATHRA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индивидуальных авторов.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поиска, используемый для подбора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GetNewAthra</w:t>
            </w:r>
          </w:p>
        </w:tc>
        <w:tc>
          <w:tcPr/>
          <w:p>
            <w:pPr>
              <w:pStyle w:val="Compact"/>
            </w:pPr>
            <w:r>
              <w:t xml:space="preserve">Действие для создания или подбора новой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Краткое, полное и специализированное отображение авторитетной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используются как контролируемый источник имён персональных авторов и связанных вариантов заголовка.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признак иностранного агента в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ATHRA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THRA/Help/ForeignAgen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THRA/Help/ForeignAgen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2026-11-08T11:57:43Z</dcterms:created>
  <dcterms:modified xsi:type="dcterms:W3CDTF">2026-11-08T11:57:43Z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