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поступления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поступления-за-период"/>
    <w:p>
      <w:pPr>
        <w:pStyle w:val="Heading1"/>
      </w:pPr>
      <w:r>
        <w:t xml:space="preserve">КСУ поступления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хранит записи КСУ поступления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p"/>
    <w:p>
      <w:pPr>
        <w:pStyle w:val="Heading2"/>
      </w:pPr>
      <w:r>
        <w:t xml:space="preserve">Назначение KSFP</w:t>
      </w:r>
    </w:p>
    <w:p>
      <w:pPr>
        <w:pStyle w:val="FirstParagraph"/>
      </w:pPr>
      <w:r>
        <w:rPr>
          <w:rStyle w:val="VerbatimChar"/>
        </w:rPr>
        <w:t xml:space="preserve">KSFP</w:t>
      </w:r>
      <w:r>
        <w:t xml:space="preserve"> </w:t>
      </w:r>
      <w:r>
        <w:t xml:space="preserve">является карточным модулем для записей книги суммарного учета поступления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KSFP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поступления за период</dc:title>
  <dc:creator/>
  <cp:keywords/>
  <dcterms:created xsi:type="dcterms:W3CDTF">2026-10-30T17:22:49Z</dcterms:created>
  <dcterms:modified xsi:type="dcterms:W3CDTF">2026-10-30T17:22:49Z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