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Справочник ГРНТИ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равочник-грнти"/>
    <w:p>
      <w:pPr>
        <w:pStyle w:val="Heading1"/>
      </w:pPr>
      <w:r>
        <w:t xml:space="preserve">Справочник ГРНТИ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GRNTI</w:t>
      </w:r>
      <w:r>
        <w:t xml:space="preserve"> </w:t>
      </w:r>
      <w:r>
        <w:t xml:space="preserve">ведет записи рубрикатора ГРНТИ и предоставляет узлы дерева для выбора тематических рубрик.</w:t>
      </w:r>
    </w:p>
    <w:bookmarkStart w:id="11" w:name="назначение-модуля-grnti"/>
    <w:p>
      <w:pPr>
        <w:pStyle w:val="Heading2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3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Справочник ГРНТИ</dc:title>
  <dc:creator/>
  <cp:keywords/>
  <dcterms:created xsi:type="dcterms:W3CDTF">2026-11-02T05:12:05Z</dcterms:created>
  <dcterms:modified xsi:type="dcterms:W3CDTF">2026-11-02T05:12:05Z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