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администратора-модуля-ft"/>
    <w:p>
      <w:pPr>
        <w:pStyle w:val="Heading1"/>
      </w:pPr>
      <w:r>
        <w:t xml:space="preserve">Руководство администратора модуля FT</w:t>
      </w:r>
    </w:p>
    <w:p>
      <w:pPr>
        <w:pStyle w:val="FirstParagraph"/>
      </w:pPr>
      <w:r>
        <w:t xml:space="preserve">Данный раздел предназначен для технических специалистов и администраторов системы ИРБИС 128. Здесь описаны настройки модуля, механизмы интеграции и способы диагностики.</w:t>
      </w:r>
    </w:p>
    <w:bookmarkStart w:id="17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3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3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3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3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3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bookmarkStart w:id="76" w:name="X455714feb3a9b7d5f89d88bf3ae9736a25536b6"/>
    <w:p>
      <w:pPr>
        <w:pStyle w:val="Heading2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18" w:name="общие-параметры"/>
    <w:p>
      <w:pPr>
        <w:pStyle w:val="Heading3"/>
      </w:pPr>
      <w:r>
        <w:t xml:space="preserve">1. Общие параметры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18"/>
    <w:bookmarkStart w:id="19" w:name="настройка-вьюверов-просмотрщиков"/>
    <w:p>
      <w:pPr>
        <w:pStyle w:val="Heading3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9"/>
    <w:bookmarkStart w:id="23" w:name="визуальное-оформление-и-защита"/>
    <w:p>
      <w:pPr>
        <w:pStyle w:val="Heading3"/>
      </w:pPr>
      <w:r>
        <w:t xml:space="preserve">3. Визуальное оформление и защита</w:t>
      </w:r>
    </w:p>
    <w:bookmarkStart w:id="20" w:name="параметры-обложек"/>
    <w:p>
      <w:pPr>
        <w:pStyle w:val="Heading4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20"/>
    <w:bookmarkStart w:id="21" w:name="водяные-знаки-watermarks"/>
    <w:p>
      <w:pPr>
        <w:pStyle w:val="Heading4"/>
      </w:pPr>
      <w:r>
        <w:t xml:space="preserve">3.2. Водяные знаки (Watermarks)</w:t>
      </w:r>
    </w:p>
    <w:p>
      <w:pPr>
        <w:pStyle w:val="Compact"/>
        <w:numPr>
          <w:ilvl w:val="0"/>
          <w:numId w:val="1007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7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21"/>
    <w:bookmarkStart w:id="22" w:name="dpi-разрешение"/>
    <w:p>
      <w:pPr>
        <w:pStyle w:val="Heading4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22"/>
    <w:bookmarkEnd w:id="23"/>
    <w:bookmarkStart w:id="37" w:name="основные-настройки"/>
    <w:p>
      <w:pPr>
        <w:pStyle w:val="Heading3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24" w:name="Xa47ffa47f473c9e980e4ad2bdbd86e22672e512"/>
    <w:p>
      <w:pPr>
        <w:pStyle w:val="Heading4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24"/>
    <w:bookmarkStart w:id="25" w:name="X67f489e3c3eccbaf659ac79bebaf345246b151f"/>
    <w:p>
      <w:pPr>
        <w:pStyle w:val="Heading4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25"/>
    <w:bookmarkStart w:id="26" w:name="ограничения-на-размер-загружаемых-файлов"/>
    <w:p>
      <w:pPr>
        <w:pStyle w:val="Heading4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26"/>
    <w:bookmarkStart w:id="27" w:name="автоматическая-обработка-метаданных"/>
    <w:p>
      <w:pPr>
        <w:pStyle w:val="Heading4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27"/>
    <w:bookmarkStart w:id="28" w:name="X3b7b41e3bc2bb7e3af7632d409bb9d44ab78515"/>
    <w:p>
      <w:pPr>
        <w:pStyle w:val="Heading4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28"/>
    <w:bookmarkStart w:id="29" w:name="пользовательские-функции"/>
    <w:p>
      <w:pPr>
        <w:pStyle w:val="Heading4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9"/>
    <w:bookmarkStart w:id="30" w:name="групповые-права-доступа-ftcollections"/>
    <w:p>
      <w:pPr>
        <w:pStyle w:val="Heading4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30"/>
    <w:bookmarkStart w:id="32" w:name="специфичные-права-доступа"/>
    <w:p>
      <w:pPr>
        <w:pStyle w:val="Heading4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31" w:name="информация-об-авторских-правах"/>
    <w:p>
      <w:pPr>
        <w:pStyle w:val="Heading5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31"/>
    <w:bookmarkEnd w:id="32"/>
    <w:bookmarkStart w:id="33" w:name="внутренняя-статистика-просмотров"/>
    <w:p>
      <w:pPr>
        <w:pStyle w:val="Heading4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33"/>
    <w:bookmarkStart w:id="34" w:name="фоновая-обработка-задач-очередь"/>
    <w:p>
      <w:pPr>
        <w:pStyle w:val="Heading4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34"/>
    <w:bookmarkStart w:id="35" w:name="интеграция-с-pandoc"/>
    <w:p>
      <w:pPr>
        <w:pStyle w:val="Heading4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13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35"/>
    <w:bookmarkStart w:id="36" w:name="дополнение-по-групповым-правам"/>
    <w:p>
      <w:pPr>
        <w:pStyle w:val="Heading4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36"/>
    <w:bookmarkEnd w:id="37"/>
    <w:bookmarkStart w:id="47" w:name="многостраничные-документы"/>
    <w:p>
      <w:pPr>
        <w:pStyle w:val="Heading3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38" w:name="X9a04ad5fa0c021b5fbef411d0b2225b3c041708"/>
    <w:p>
      <w:pPr>
        <w:pStyle w:val="Heading4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38"/>
    <w:bookmarkStart w:id="40" w:name="Xf3dc9cf884e1680286c914bf6ea6def01f5bf87"/>
    <w:p>
      <w:pPr>
        <w:pStyle w:val="Heading4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9" w:name="индивидуальные-параметры-документа"/>
    <w:p>
      <w:pPr>
        <w:pStyle w:val="Heading5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9"/>
    <w:bookmarkEnd w:id="40"/>
    <w:bookmarkStart w:id="41" w:name="пересоздать-все-изображения-страниц"/>
    <w:p>
      <w:pPr>
        <w:pStyle w:val="Heading4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41"/>
    <w:bookmarkStart w:id="46" w:name="ftextractoneimagefrompdf"/>
    <w:p>
      <w:pPr>
        <w:pStyle w:val="Heading4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42" w:name="параметры"/>
    <w:p>
      <w:pPr>
        <w:pStyle w:val="Heading5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42"/>
    <w:bookmarkStart w:id="43" w:name="результат"/>
    <w:p>
      <w:pPr>
        <w:pStyle w:val="Heading5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43"/>
    <w:bookmarkStart w:id="44" w:name="пример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44"/>
    <w:bookmarkStart w:id="45" w:name="связанная-автодокументация"/>
    <w:p>
      <w:pPr>
        <w:pStyle w:val="Heading5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45"/>
    <w:bookmarkEnd w:id="46"/>
    <w:bookmarkEnd w:id="47"/>
    <w:bookmarkStart w:id="51" w:name="изображения"/>
    <w:p>
      <w:pPr>
        <w:pStyle w:val="Heading3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48" w:name="X1e59f2648864c669d6ef621849f8c77a587577a"/>
    <w:p>
      <w:pPr>
        <w:pStyle w:val="Heading4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48"/>
    <w:bookmarkStart w:id="49" w:name="X26d56ffebd7e46e48da77d0a952e0f9b793ed4c"/>
    <w:p>
      <w:pPr>
        <w:pStyle w:val="Heading4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9"/>
    <w:bookmarkStart w:id="50" w:name="групповое-редактирование-изображений"/>
    <w:p>
      <w:pPr>
        <w:pStyle w:val="Heading4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50"/>
    <w:bookmarkEnd w:id="51"/>
    <w:bookmarkStart w:id="59" w:name="видео"/>
    <w:p>
      <w:pPr>
        <w:pStyle w:val="Heading3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52" w:name="тип-плеера-videoviewertype"/>
    <w:p>
      <w:pPr>
        <w:pStyle w:val="Heading4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52"/>
    <w:bookmarkStart w:id="53" w:name="тип-конвертации-videoconvertertype"/>
    <w:p>
      <w:pPr>
        <w:pStyle w:val="Heading4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53"/>
    <w:bookmarkStart w:id="54" w:name="Xb6142259b4ba3ff1fbae4aad79fce13600336a2"/>
    <w:p>
      <w:pPr>
        <w:pStyle w:val="Heading4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54"/>
    <w:bookmarkStart w:id="55" w:name="поддерживаемые-разрешения"/>
    <w:p>
      <w:pPr>
        <w:pStyle w:val="Heading4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55"/>
    <w:bookmarkStart w:id="56" w:name="X68045a5540f5c4fb9a711ae553a665b14da5e6c"/>
    <w:p>
      <w:pPr>
        <w:pStyle w:val="Heading4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56"/>
    <w:bookmarkStart w:id="58" w:name="настройка-подсистемы-транскрибации"/>
    <w:p>
      <w:pPr>
        <w:pStyle w:val="Heading4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8"/>
    <w:bookmarkEnd w:id="59"/>
    <w:bookmarkStart w:id="61" w:name="аудио"/>
    <w:p>
      <w:pPr>
        <w:pStyle w:val="Heading3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60" w:name="настройка-подсистемы-транскрибации-1"/>
    <w:p>
      <w:pPr>
        <w:pStyle w:val="Heading4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57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60"/>
    <w:bookmarkEnd w:id="61"/>
    <w:bookmarkStart w:id="65" w:name="параметры-создания-обложки"/>
    <w:p>
      <w:pPr>
        <w:pStyle w:val="Heading3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62" w:name="максимальная-ширина-covermaxwidth"/>
    <w:p>
      <w:pPr>
        <w:pStyle w:val="Heading4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62"/>
    <w:bookmarkStart w:id="63" w:name="максимальная-высота-covermaxheight"/>
    <w:p>
      <w:pPr>
        <w:pStyle w:val="Heading4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63"/>
    <w:bookmarkStart w:id="64" w:name="X3955409d4ef3d8d0487c7647347b94d8f6f8fed"/>
    <w:p>
      <w:pPr>
        <w:pStyle w:val="Heading4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64"/>
    <w:bookmarkEnd w:id="65"/>
    <w:bookmarkStart w:id="71" w:name="коллекции-электронной-библиотеки"/>
    <w:p>
      <w:pPr>
        <w:pStyle w:val="Heading3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66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2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2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2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2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66"/>
    <w:bookmarkStart w:id="67" w:name="настройка-источника-коллекций"/>
    <w:p>
      <w:pPr>
        <w:pStyle w:val="Heading4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67"/>
    <w:bookmarkStart w:id="68" w:name="применение-к-документам"/>
    <w:p>
      <w:pPr>
        <w:pStyle w:val="Heading4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68"/>
    <w:bookmarkStart w:id="69" w:name="когда-использовать"/>
    <w:p>
      <w:pPr>
        <w:pStyle w:val="Heading4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9"/>
    <w:bookmarkStart w:id="70" w:name="X5881adaedf6689ccce4c865bc48c0fac9c6c4cb"/>
    <w:p>
      <w:pPr>
        <w:pStyle w:val="Heading4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70"/>
    <w:bookmarkEnd w:id="71"/>
    <w:bookmarkStart w:id="75" w:name="права-доступа-электронной-библиотеки"/>
    <w:p>
      <w:pPr>
        <w:pStyle w:val="Heading3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72" w:name="права-на-модуль"/>
    <w:p>
      <w:pPr>
        <w:pStyle w:val="Heading4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22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72"/>
    <w:bookmarkStart w:id="73" w:name="права-на-документы"/>
    <w:p>
      <w:pPr>
        <w:pStyle w:val="Heading4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2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73"/>
    <w:bookmarkStart w:id="74" w:name="права-через-коллекции"/>
    <w:p>
      <w:pPr>
        <w:pStyle w:val="Heading4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74"/>
    <w:bookmarkEnd w:id="75"/>
    <w:bookmarkEnd w:id="76"/>
    <w:bookmarkStart w:id="80" w:name="импорт-данных"/>
    <w:p>
      <w:pPr>
        <w:pStyle w:val="Heading2"/>
      </w:pPr>
      <w:r>
        <w:t xml:space="preserve">Импорт данных</w:t>
      </w:r>
    </w:p>
    <w:p>
      <w:pPr>
        <w:pStyle w:val="FirstParagraph"/>
      </w:pPr>
      <w:r>
        <w:t xml:space="preserve">Настройки для массовой загрузки данных и привязки полных текстов к библиографическим записям.</w:t>
      </w:r>
    </w:p>
    <w:bookmarkStart w:id="77" w:name="импорт-данных-из-полей-951a"/>
    <w:p>
      <w:pPr>
        <w:pStyle w:val="Heading3"/>
      </w:pPr>
      <w:r>
        <w:t xml:space="preserve">1. Импорт данных из полей 951^A</w:t>
      </w:r>
    </w:p>
    <w:p>
      <w:pPr>
        <w:pStyle w:val="FirstParagraph"/>
      </w:pPr>
      <w:r>
        <w:t xml:space="preserve">Содержит кнопку для запуска мастера импорта. С помощью этого инструмента система может в автоматическом режиме проанализировать библиографические записи с заполненными ссылками на внешние файлы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 импортировать их в электронную библиотеку.</w:t>
      </w:r>
    </w:p>
    <w:bookmarkEnd w:id="77"/>
    <w:bookmarkStart w:id="78" w:name="импорт-данных-из-полей-955a"/>
    <w:p>
      <w:pPr>
        <w:pStyle w:val="Heading3"/>
      </w:pPr>
      <w:r>
        <w:t xml:space="preserve">2. Импорт данных из полей 955^A</w:t>
      </w:r>
    </w:p>
    <w:p>
      <w:pPr>
        <w:pStyle w:val="FirstParagraph"/>
      </w:pPr>
      <w:r>
        <w:t xml:space="preserve">Содержит кнопку для запуска мастера импорта полных текстов, ссылки на которые хранятся 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библиографических записей. Мастер выбирает записи по поисковому запросу, читает файл из указанного файлового пути ИРБИС, создает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сохраняет исходный файл в хранилище электронной библиотеки и ставит фоновые задачи обработки.</w:t>
      </w:r>
    </w:p>
    <w:p>
      <w:pPr>
        <w:pStyle w:val="BodyText"/>
      </w:pPr>
      <w:r>
        <w:t xml:space="preserve">Перед запуском импорта проверьте, что:</w:t>
      </w:r>
    </w:p>
    <w:p>
      <w:pPr>
        <w:pStyle w:val="Compact"/>
        <w:numPr>
          <w:ilvl w:val="0"/>
          <w:numId w:val="1024"/>
        </w:numPr>
      </w:pPr>
      <w:r>
        <w:t xml:space="preserve">в выбранной базе есть записи с заполненным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указывает на доступный файл;</w:t>
      </w:r>
    </w:p>
    <w:p>
      <w:pPr>
        <w:pStyle w:val="Compact"/>
        <w:numPr>
          <w:ilvl w:val="0"/>
          <w:numId w:val="1024"/>
        </w:numPr>
      </w:pPr>
      <w:r>
        <w:t xml:space="preserve">у записей заполнен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;</w:t>
      </w:r>
    </w:p>
    <w:p>
      <w:pPr>
        <w:pStyle w:val="Compact"/>
        <w:numPr>
          <w:ilvl w:val="0"/>
          <w:numId w:val="1024"/>
        </w:numPr>
      </w:pPr>
      <w:r>
        <w:t xml:space="preserve">модуль очереди задач работает и может выполнять задачи</w:t>
      </w:r>
      <w:r>
        <w:t xml:space="preserve"> </w:t>
      </w:r>
      <w:r>
        <w:rPr>
          <w:rStyle w:val="VerbatimChar"/>
        </w:rPr>
        <w:t xml:space="preserve">FT/Import955ARec</w:t>
      </w:r>
      <w:r>
        <w:t xml:space="preserve"> </w:t>
      </w:r>
      <w:r>
        <w:t xml:space="preserve">и последующую обработку документа.</w:t>
      </w:r>
    </w:p>
    <w:p>
      <w:pPr>
        <w:pStyle w:val="FirstParagraph"/>
      </w:pPr>
      <w:r>
        <w:t xml:space="preserve">Подробный порядок работы с мастером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78"/>
    <w:bookmarkStart w:id="79" w:name="X09dc8cccd36b120a697214d90329f31ea2aa660"/>
    <w:p>
      <w:pPr>
        <w:pStyle w:val="Heading3"/>
      </w:pPr>
      <w:r>
        <w:t xml:space="preserve">3. Формат записи издания при импорте (</w:t>
      </w:r>
      <w:r>
        <w:rPr>
          <w:rStyle w:val="VerbatimChar"/>
        </w:rPr>
        <w:t xml:space="preserve">impBrief</w:t>
      </w:r>
      <w:r>
        <w:t xml:space="preserve">)</w:t>
      </w:r>
    </w:p>
    <w:p>
      <w:pPr>
        <w:pStyle w:val="FirstParagraph"/>
      </w:pPr>
      <w:r>
        <w:t xml:space="preserve">Указывает формат ИРБИС, который будет использован для формирования краткого библиографического описания при автоматическом импорте записи (по умолчанию используется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).</w:t>
      </w:r>
    </w:p>
    <w:bookmarkEnd w:id="79"/>
    <w:bookmarkEnd w:id="80"/>
    <w:bookmarkStart w:id="86" w:name="поиск"/>
    <w:p>
      <w:pPr>
        <w:pStyle w:val="Heading2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81" w:name="виды-поиска"/>
    <w:p>
      <w:pPr>
        <w:pStyle w:val="Heading3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25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25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81"/>
    <w:bookmarkStart w:id="82" w:name="X49ffe9befe76bc0785c2f3f5bb4591e6d5e1ae1"/>
    <w:p>
      <w:pPr>
        <w:pStyle w:val="Heading3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82"/>
    <w:bookmarkStart w:id="83" w:name="полнотекстовый-поиск-внутри-документов"/>
    <w:p>
      <w:pPr>
        <w:pStyle w:val="Heading3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83"/>
    <w:bookmarkStart w:id="84" w:name="индексация-метаданных-для-базы-ирбис"/>
    <w:p>
      <w:pPr>
        <w:pStyle w:val="Heading3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26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84"/>
    <w:bookmarkStart w:id="85" w:name="связь-с-бо-и-контроль-шифра-903"/>
    <w:p>
      <w:pPr>
        <w:pStyle w:val="Heading3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85"/>
    <w:bookmarkEnd w:id="86"/>
    <w:bookmarkStart w:id="92" w:name="обработка-документов-и-ocr"/>
    <w:p>
      <w:pPr>
        <w:pStyle w:val="Heading2"/>
      </w:pPr>
      <w:r>
        <w:t xml:space="preserve">Обработка документов и OCR</w:t>
      </w:r>
    </w:p>
    <w:bookmarkStart w:id="87" w:name="система-очередей-queue"/>
    <w:p>
      <w:pPr>
        <w:pStyle w:val="Heading3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87"/>
    <w:bookmarkStart w:id="90" w:name="настройка-ocr-распознавание-текста"/>
    <w:p>
      <w:pPr>
        <w:pStyle w:val="Heading3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88" w:name="tesseract-ocr"/>
    <w:p>
      <w:pPr>
        <w:pStyle w:val="Heading4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88"/>
    <w:bookmarkStart w:id="89" w:name="abbyy-hot-folder"/>
    <w:p>
      <w:pPr>
        <w:pStyle w:val="Heading4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89"/>
    <w:bookmarkEnd w:id="90"/>
    <w:bookmarkStart w:id="91" w:name="индексация-для-поиска"/>
    <w:p>
      <w:pPr>
        <w:pStyle w:val="Heading3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91"/>
    <w:bookmarkEnd w:id="92"/>
    <w:bookmarkStart w:id="98" w:name="транскрибация-аудио-и-видео"/>
    <w:p>
      <w:pPr>
        <w:pStyle w:val="Heading2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3" w:name="выбор-сервиса"/>
    <w:p>
      <w:pPr>
        <w:pStyle w:val="Heading3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3"/>
    <w:bookmarkStart w:id="94" w:name="локальный-сервис-whisper"/>
    <w:p>
      <w:pPr>
        <w:pStyle w:val="Heading3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94"/>
    <w:bookmarkStart w:id="95" w:name="yandex-speech-api"/>
    <w:p>
      <w:pPr>
        <w:pStyle w:val="Heading3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95"/>
    <w:bookmarkStart w:id="96" w:name="запуск-транскрибации"/>
    <w:p>
      <w:pPr>
        <w:pStyle w:val="Heading3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96"/>
    <w:bookmarkStart w:id="97" w:name="результат-1"/>
    <w:p>
      <w:pPr>
        <w:pStyle w:val="Heading3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97"/>
    <w:bookmarkEnd w:id="98"/>
    <w:bookmarkStart w:id="110" w:name="интеграция-с-библиотечными-процессами"/>
    <w:p>
      <w:pPr>
        <w:pStyle w:val="Heading2"/>
      </w:pPr>
      <w:r>
        <w:t xml:space="preserve">Интеграция с библиотечными процессами</w:t>
      </w:r>
    </w:p>
    <w:bookmarkStart w:id="99" w:name="арм-книговыдача"/>
    <w:p>
      <w:pPr>
        <w:pStyle w:val="Heading3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9"/>
    <w:bookmarkStart w:id="100" w:name="ограничения-и-авторские-права-поле-201"/>
    <w:p>
      <w:pPr>
        <w:pStyle w:val="Heading3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0"/>
    <w:bookmarkStart w:id="101" w:name="сводный-каталог"/>
    <w:p>
      <w:pPr>
        <w:pStyle w:val="Heading3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01"/>
    <w:bookmarkStart w:id="106" w:name="параметры-интеграции-с-арм-книговыдача"/>
    <w:p>
      <w:pPr>
        <w:pStyle w:val="Heading3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02" w:name="X87f80bf909191ef19914d94a743ef9634edf217"/>
    <w:p>
      <w:pPr>
        <w:pStyle w:val="Heading4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02"/>
    <w:bookmarkStart w:id="103" w:name="обозначение-места-выдачи-mkv"/>
    <w:p>
      <w:pPr>
        <w:pStyle w:val="Heading4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3"/>
    <w:bookmarkStart w:id="104" w:name="идентификатор-анонимного-читателя-kvri"/>
    <w:p>
      <w:pPr>
        <w:pStyle w:val="Heading4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04"/>
    <w:bookmarkStart w:id="105" w:name="X707440f5c0ffc224d501aa42be2f73c240abd4d"/>
    <w:p>
      <w:pPr>
        <w:pStyle w:val="Heading4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05"/>
    <w:bookmarkEnd w:id="106"/>
    <w:bookmarkStart w:id="109" w:name="Xa71c1d5d07dd25b85628c0566ce9063eea7318b"/>
    <w:p>
      <w:pPr>
        <w:pStyle w:val="Heading3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07" w:name="X8a6e7d63fd288782ceff3e8e12ed2ec5fdd120c"/>
    <w:p>
      <w:pPr>
        <w:pStyle w:val="Heading4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07"/>
    <w:bookmarkStart w:id="108" w:name="список-разрешенных-бд-skalloweddatabases"/>
    <w:p>
      <w:pPr>
        <w:pStyle w:val="Heading4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08"/>
    <w:bookmarkEnd w:id="109"/>
    <w:bookmarkEnd w:id="110"/>
    <w:bookmarkStart w:id="117" w:name="диагностика-и-обслуживание"/>
    <w:p>
      <w:pPr>
        <w:pStyle w:val="Heading2"/>
      </w:pPr>
      <w:r>
        <w:t xml:space="preserve">Диагностика и обслуживание</w:t>
      </w:r>
    </w:p>
    <w:bookmarkStart w:id="111" w:name="проверка-целостности-связей-checkeclinks"/>
    <w:p>
      <w:pPr>
        <w:pStyle w:val="Heading3"/>
      </w:pPr>
      <w:r>
        <w:t xml:space="preserve">1. Проверка целостности связей (CheckECLinks)</w:t>
      </w:r>
    </w:p>
    <w:p>
      <w:pPr>
        <w:pStyle w:val="FirstParagraph"/>
      </w:pPr>
      <w:r>
        <w:t xml:space="preserve">Для поддержания актуальности данных в системе предусмотрен инструмент</w:t>
      </w:r>
      <w:r>
        <w:t xml:space="preserve"> </w:t>
      </w:r>
      <w:r>
        <w:rPr>
          <w:b/>
          <w:bCs/>
        </w:rPr>
        <w:t xml:space="preserve">CheckECLinks</w:t>
      </w:r>
      <w:r>
        <w:t xml:space="preserve"> </w:t>
      </w:r>
      <w:r>
        <w:t xml:space="preserve">(Action</w:t>
      </w:r>
      <w:r>
        <w:t xml:space="preserve"> </w:t>
      </w:r>
      <w:r>
        <w:rPr>
          <w:rStyle w:val="VerbatimChar"/>
        </w:rPr>
        <w:t xml:space="preserve">FT/CheckECLinks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Назначение</w:t>
      </w:r>
      <w:r>
        <w:t xml:space="preserve">: Массовая проверка соответствия между объектами электронных документов и ссылками в библиографических записях электронного каталога.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Выполняемые проверки</w:t>
      </w:r>
      <w:r>
        <w:t xml:space="preserve">:</w:t>
      </w:r>
    </w:p>
    <w:p>
      <w:pPr>
        <w:pStyle w:val="Compact"/>
        <w:numPr>
          <w:ilvl w:val="1"/>
          <w:numId w:val="1036"/>
        </w:numPr>
      </w:pPr>
      <w:r>
        <w:t xml:space="preserve">Поиск</w:t>
      </w:r>
      <w:r>
        <w:t xml:space="preserve"> </w:t>
      </w:r>
      <w:r>
        <w:t xml:space="preserve">“битых”</w:t>
      </w:r>
      <w:r>
        <w:t xml:space="preserve"> </w:t>
      </w:r>
      <w:r>
        <w:t xml:space="preserve">ссылок (ссылка в ЭК есть, а объекта в FT нет).</w:t>
      </w:r>
    </w:p>
    <w:p>
      <w:pPr>
        <w:pStyle w:val="Compact"/>
        <w:numPr>
          <w:ilvl w:val="1"/>
          <w:numId w:val="1036"/>
        </w:numPr>
      </w:pPr>
      <w:r>
        <w:t xml:space="preserve">Поиск объектов без привязки к ЭК (сиротские записи).</w:t>
      </w:r>
    </w:p>
    <w:p>
      <w:pPr>
        <w:pStyle w:val="Compact"/>
        <w:numPr>
          <w:ilvl w:val="1"/>
          <w:numId w:val="1036"/>
        </w:numPr>
      </w:pPr>
      <w:r>
        <w:t xml:space="preserve">Валидация контрольных сумм (MD5) исходных документов для подтверждения идентичности файлов.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Результат</w:t>
      </w:r>
      <w:r>
        <w:t xml:space="preserve">: Система формирует отчет со списком расхождений, что позволяет администратору оперативно исправить ошибки связывания.</w:t>
      </w:r>
    </w:p>
    <w:bookmarkEnd w:id="111"/>
    <w:bookmarkStart w:id="113" w:name="экспорт-документации-в-docx"/>
    <w:p>
      <w:pPr>
        <w:pStyle w:val="Heading3"/>
      </w:pPr>
      <w:r>
        <w:t xml:space="preserve">2. Экспорт документации в DOCX</w:t>
      </w:r>
    </w:p>
    <w:p>
      <w:pPr>
        <w:pStyle w:val="FirstParagraph"/>
      </w:pPr>
      <w:r>
        <w:t xml:space="preserve">Модуль FT предоставляет системную возможность конвертации текстового контента в формат Microsoft Word с использованием</w:t>
      </w:r>
      <w:r>
        <w:t xml:space="preserve"> </w:t>
      </w:r>
      <w:r>
        <w:rPr>
          <w:b/>
          <w:bCs/>
        </w:rPr>
        <w:t xml:space="preserve">Pandoc</w:t>
      </w:r>
      <w:r>
        <w:t xml:space="preserve">. Эта функция используется, например, в модуле Справки для скачивания разделов руководства в виде готовых документов.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Базовый механизм</w:t>
      </w:r>
      <w:r>
        <w:t xml:space="preserve">: действие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 </w:t>
      </w:r>
      <w:r>
        <w:t xml:space="preserve">принимает Markdown-текст и целевой DOCX-файл, подготавливает временный входной файл и вызывает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Шаблон оформления</w:t>
      </w:r>
      <w:r>
        <w:t xml:space="preserve">: если передан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, итоговый документ наследует стили заголовков, таблиц и основного текста из этого файла.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Изображения и ресурсы</w:t>
      </w:r>
      <w:r>
        <w:t xml:space="preserve">: параметр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задает базовую директорию для поиска изображений и других файлов, на которые ссылается Markdown.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Оглавление и режим документа</w:t>
      </w:r>
      <w:r>
        <w:t xml:space="preserve">: параметры передаются через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включая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</w:t>
      </w:r>
      <w:r>
        <w:t xml:space="preserve"> </w:t>
      </w:r>
      <w:r>
        <w:rPr>
          <w:rStyle w:val="VerbatimChar"/>
        </w:rPr>
        <w:t xml:space="preserve">toc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toc-depth</w:t>
      </w:r>
      <w:r>
        <w:t xml:space="preserve">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Диагностика</w:t>
      </w:r>
      <w:r>
        <w:t xml:space="preserve">: если Pandoc не найден, входной файл отсутствует или конвертация завершается ошибкой, модуль FT возвращает русскоязычное сообщение об ошибке.</w:t>
      </w:r>
    </w:p>
    <w:p>
      <w:pPr>
        <w:pStyle w:val="FirstParagraph"/>
      </w:pPr>
      <w:r>
        <w:t xml:space="preserve">Подробное описание расположения Pandoc, структуры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и API-оберток приведено в разделе</w:t>
      </w:r>
      <w:r>
        <w:t xml:space="preserve"> </w:t>
      </w:r>
      <w:hyperlink r:id="rId112">
        <w:r>
          <w:rPr>
            <w:rStyle w:val="Hyperlink"/>
          </w:rPr>
          <w:t xml:space="preserve">Основные настройки</w:t>
        </w:r>
      </w:hyperlink>
      <w:r>
        <w:t xml:space="preserve">.</w:t>
      </w:r>
    </w:p>
    <w:bookmarkEnd w:id="113"/>
    <w:bookmarkStart w:id="114" w:name="мониторинг-фоновых-процессов"/>
    <w:p>
      <w:pPr>
        <w:pStyle w:val="Heading3"/>
      </w:pPr>
      <w:r>
        <w:t xml:space="preserve">3. Мониторинг фоновых процессов</w:t>
      </w:r>
    </w:p>
    <w:p>
      <w:pPr>
        <w:pStyle w:val="FirstParagraph"/>
      </w:pPr>
      <w:r>
        <w:t xml:space="preserve">Для каждого документа в его Sid-файлах сохраняются индикаторы состояния: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prepareViewerProcessId</w:t>
      </w:r>
      <w:r>
        <w:t xml:space="preserve">: Если файл содержит значение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или ID задачи, значит процесс подготовки еще идет. Если файл отсутствует — подготовка завершена.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ExecFFMPEG.log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ExecFFMPEGV.log</w:t>
      </w:r>
      <w:r>
        <w:t xml:space="preserve">: Файлы журналов процесса конвертации медиафайлов. Находятся в папке логов сервера.</w:t>
      </w:r>
    </w:p>
    <w:p>
      <w:pPr>
        <w:pStyle w:val="Compact"/>
        <w:numPr>
          <w:ilvl w:val="0"/>
          <w:numId w:val="1038"/>
        </w:numPr>
      </w:pPr>
      <w:r>
        <w:rPr>
          <w:rStyle w:val="VerbatimChar"/>
        </w:rPr>
        <w:t xml:space="preserve">OCRTesseract.log</w:t>
      </w:r>
      <w:r>
        <w:t xml:space="preserve">: Основной лог-файл процесса распознавания текста. Находится в папке логов сервера.</w:t>
      </w:r>
    </w:p>
    <w:bookmarkEnd w:id="114"/>
    <w:bookmarkStart w:id="115" w:name="структура-хранилища-объектов"/>
    <w:p>
      <w:pPr>
        <w:pStyle w:val="Heading3"/>
      </w:pPr>
      <w:r>
        <w:t xml:space="preserve">4. Структура хранилища объектов</w:t>
      </w:r>
    </w:p>
    <w:p>
      <w:pPr>
        <w:pStyle w:val="FirstParagraph"/>
      </w:pPr>
      <w:r>
        <w:t xml:space="preserve">Все данные документов хранятся по пути:</w:t>
      </w:r>
      <w:r>
        <w:t xml:space="preserve"> </w:t>
      </w:r>
      <w:r>
        <w:rPr>
          <w:rStyle w:val="VerbatimChar"/>
        </w:rPr>
        <w:t xml:space="preserve">[DataPath]/OBJECTS/FT/[Первые 2 символа SID]/[Следующие 2 символа SID]/[Остаток SID]/</w:t>
      </w:r>
    </w:p>
    <w:p>
      <w:pPr>
        <w:pStyle w:val="BodyText"/>
      </w:pPr>
      <w:r>
        <w:t xml:space="preserve">Внутри папки документа создаются поддиректории: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FT/Paged/img</w:t>
      </w:r>
      <w:r>
        <w:t xml:space="preserve">: Изображения страниц (PNG).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FT/Paged/txt</w:t>
      </w:r>
      <w:r>
        <w:t xml:space="preserve">: Текстовое содержимое страниц.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FT/Paged/coord</w:t>
      </w:r>
      <w:r>
        <w:t xml:space="preserve">: Координаты слов для подсветки.</w:t>
      </w:r>
    </w:p>
    <w:p>
      <w:pPr>
        <w:pStyle w:val="Compact"/>
        <w:numPr>
          <w:ilvl w:val="0"/>
          <w:numId w:val="1039"/>
        </w:numPr>
      </w:pPr>
      <w:r>
        <w:rPr>
          <w:rStyle w:val="VerbatimChar"/>
        </w:rPr>
        <w:t xml:space="preserve">FT/idx.txt</w:t>
      </w:r>
      <w:r>
        <w:t xml:space="preserve">: Полный текст всего документа (используется для индексации).</w:t>
      </w:r>
    </w:p>
    <w:bookmarkEnd w:id="115"/>
    <w:bookmarkStart w:id="116" w:name="очистка-данных"/>
    <w:p>
      <w:pPr>
        <w:pStyle w:val="Heading3"/>
      </w:pPr>
      <w:r>
        <w:t xml:space="preserve">5. Очистка данных</w:t>
      </w:r>
    </w:p>
    <w:p>
      <w:pPr>
        <w:pStyle w:val="FirstParagraph"/>
      </w:pPr>
      <w:r>
        <w:t xml:space="preserve">При удалении записи FT система автоматически удаляет все связанные с ней файлы и директории из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Не рекомендуется вручную изменять содержимое папок в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, так как это может привести к рассогласованию с базой данных и ошибкам во вьюверах.</w:t>
      </w:r>
      <w:r>
        <w:t xml:space="preserve"> </w:t>
      </w:r>
      <w:r>
        <w:t xml:space="preserve">@@@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2" Target="?id=Help/Show&amp;m=FT/Help/AdminGuide/GeneralConfig" TargetMode="External" /><Relationship Type="http://schemas.openxmlformats.org/officeDocument/2006/relationships/hyperlink" Id="rId57" Target="?id=Help/Show&amp;m=FT/Help/AdminGuide/Transcription" TargetMode="Externa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FT</dc:title>
  <dc:creator/>
  <cp:keywords/>
  <dcterms:created xsi:type="dcterms:W3CDTF">2026-11-02T01:38:01Z</dcterms:created>
  <dcterms:modified xsi:type="dcterms:W3CDTF">2026-11-02T01:38:01Z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