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Прочитать запись (C)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рочитать-запись-c"/>
    <w:p>
      <w:pPr>
        <w:pStyle w:val="Heading1"/>
      </w:pPr>
      <w:r>
        <w:t xml:space="preserve">Прочитать запись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из мастер-файла базы данных по MFN.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При успешном чтении возвращается запись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прочитана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</w:tbl>
    <w:bookmarkEnd w:id="10"/>
    <w:bookmarkStart w:id="11" w:name="комментарий"/>
    <w:p>
      <w:pPr>
        <w:pStyle w:val="Heading2"/>
      </w:pPr>
      <w:r>
        <w:t xml:space="preserve">3. Комментарий</w:t>
      </w:r>
    </w:p>
    <w:p>
      <w:pPr>
        <w:pStyle w:val="FirstParagraph"/>
      </w:pPr>
      <w:r>
        <w:t xml:space="preserve">В строке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передаются номер записи и статус записи. Дальше идут поля записи в формате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Прочитать запись (C)</dc:title>
  <dc:creator/>
  <cp:keywords/>
  <dcterms:created xsi:type="dcterms:W3CDTF">2026-11-08T17:12:18Z</dcterms:created>
  <dcterms:modified xsi:type="dcterms:W3CDTF">2026-11-08T17:12:18Z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