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1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p>
      <w:pPr>
        <w:pStyle w:val="BodyText"/>
      </w:pPr>
      <w:r>
        <w:t xml:space="preserve">Модуль также хранит реестр API-контрактов, профили внешней интеграции, mapping profiles, ExternalId, SyncPolicy и ConflictPolicy. Контракты описывают опубликованные методы, версии, транспорты, права, идемпотентность, диагностику и TestA-проверки. Профили интеграции ссылаются на контракт и настройки transport/security/secrets, но не содержат значений секретов. Mapping profiles и ExternalId задают безопасное сопоставление внешних объектов с внутренними object types без записи внешних ключей в частные поля доменных модулей. SyncPolicy и ConflictPolicy позволяют построить объяснимый план синхронизации без прямого изменения доменных записей внутри API.</w:t>
      </w:r>
    </w:p>
    <w:bookmarkStart w:id="15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 и владеет реестром публичных API-контрактов. Модуль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и дает им стабильное metadata-описание.</w:t>
      </w:r>
    </w:p>
    <w:p>
      <w:pPr>
        <w:pStyle w:val="BodyText"/>
      </w:pPr>
      <w:r>
        <w:t xml:space="preserve">Административные записи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используются для API-контрактов, профилей внешней интеграции, mapping profiles, ExternalId, SyncPolicy и ConflictPolicy. Контракт фиксирует ключ, версию, статус публикации, методы, ресурсы, transport references, права, идемпотентность, Help и TestA. Профиль интеграции ссылается на контракт и задает внешнюю систему, направление обмена, transport profile, security subject и ссылки на Secrets. MappingProfile описывает сопоставление внешних полей, статусов, участников и файлов с системными контрактами ИРБИС 128. ExternalId связывает внешний идентификатор с внутренним object type и record reference. SyncPolicy и ConflictPolicy описывают dry-run sync, explainable diff и безопасный contract передачи изменений доменному модулю.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4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p>
      <w:pPr>
        <w:pStyle w:val="BodyText"/>
      </w:pPr>
      <w:r>
        <w:t xml:space="preserve">Описание contract registry, профилей интеграции, mapping, ExternalId и sync/conflict policies находится в разделах</w:t>
      </w:r>
      <w:r>
        <w:t xml:space="preserve"> </w:t>
      </w:r>
      <w:hyperlink r:id="rId10">
        <w:r>
          <w:rPr>
            <w:rStyle w:val="Hyperlink"/>
          </w:rPr>
          <w:t xml:space="preserve">API-контракты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Профили внешней интеграции</w:t>
        </w:r>
      </w:hyperlink>
      <w:r>
        <w:t xml:space="preserve">,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 </w:t>
      </w:r>
      <w:r>
        <w:t xml:space="preserve">и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4"/>
    <w:bookmarkEnd w:id="15"/>
    <w:bookmarkStart w:id="20" w:name="api-контракты"/>
    <w:p>
      <w:pPr>
        <w:pStyle w:val="Heading2"/>
      </w:pPr>
      <w:r>
        <w:t xml:space="preserve">API-контракты</w:t>
      </w:r>
    </w:p>
    <w:p>
      <w:pPr>
        <w:pStyle w:val="FirstParagraph"/>
      </w:pPr>
      <w:r>
        <w:t xml:space="preserve">API-контракт описывает опубликованную API-поверхность ИРБИС 128: стабильный ключ, версию, статус публикации, список методов и ресурсов, supported transports, права, идемпотентность, диагностику, Help и TestA-проверки.</w:t>
      </w:r>
    </w:p>
    <w:bookmarkStart w:id="16" w:name="системный-контракт"/>
    <w:p>
      <w:pPr>
        <w:pStyle w:val="Heading3"/>
      </w:pPr>
      <w:r>
        <w:t xml:space="preserve">1. Системный контракт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автоматически публикует контракт</w:t>
      </w:r>
      <w:r>
        <w:t xml:space="preserve"> </w:t>
      </w:r>
      <w:r>
        <w:rPr>
          <w:rStyle w:val="VerbatimChar"/>
        </w:rPr>
        <w:t xml:space="preserve">api.legacy-jsonrpc.v1</w:t>
      </w:r>
      <w:r>
        <w:t xml:space="preserve">. Он описывает существующую JSON-RPC точку:</w:t>
      </w:r>
    </w:p>
    <w:p>
      <w:pPr>
        <w:pStyle w:val="SourceCode"/>
      </w:pPr>
      <w:r>
        <w:rPr>
          <w:rStyle w:val="VerbatimChar"/>
        </w:rPr>
        <w:t xml:space="preserve">JSONRPC.php?i128Module=API</w:t>
      </w:r>
    </w:p>
    <w:p>
      <w:pPr>
        <w:pStyle w:val="FirstParagraph"/>
      </w:pPr>
      <w:r>
        <w:t xml:space="preserve">Поведение legacy JSON-RPC методов при этом не меняется. Контракт только делает их metadata машиночитаемой для администраторов, внешних потребителей, HealthCheck и TestA.</w:t>
      </w:r>
    </w:p>
    <w:bookmarkEnd w:id="16"/>
    <w:bookmarkStart w:id="17" w:name="записи-api-контрактов"/>
    <w:p>
      <w:pPr>
        <w:pStyle w:val="Heading3"/>
      </w:pPr>
      <w:r>
        <w:t xml:space="preserve">2. Записи API-контрактов</w:t>
      </w:r>
    </w:p>
    <w:p>
      <w:pPr>
        <w:pStyle w:val="FirstParagraph"/>
      </w:pPr>
      <w:r>
        <w:t xml:space="preserve">Дополнительный контракт можно завести как управляемую запись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API-контракт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</w:t>
      </w:r>
      <w:r>
        <w:t xml:space="preserve"> </w:t>
      </w:r>
      <w:r>
        <w:t xml:space="preserve">- стабильный технический ключ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Название</w:t>
      </w:r>
      <w:r>
        <w:t xml:space="preserve"> </w:t>
      </w:r>
      <w:r>
        <w:t xml:space="preserve">- человекочитаемое имя для администратора.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Версия</w:t>
      </w:r>
      <w:r>
        <w:t xml:space="preserve"> </w:t>
      </w:r>
      <w:r>
        <w:t xml:space="preserve">- версия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Статус публикации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Черновик</w:t>
      </w:r>
      <w:r>
        <w:t xml:space="preserve">,</w:t>
      </w:r>
      <w:r>
        <w:t xml:space="preserve"> </w:t>
      </w:r>
      <w:r>
        <w:rPr>
          <w:rStyle w:val="VerbatimChar"/>
        </w:rPr>
        <w:t xml:space="preserve">Опубликован</w:t>
      </w:r>
      <w:r>
        <w:t xml:space="preserve">,</w:t>
      </w:r>
      <w:r>
        <w:t xml:space="preserve"> </w:t>
      </w:r>
      <w:r>
        <w:rPr>
          <w:rStyle w:val="VerbatimChar"/>
        </w:rPr>
        <w:t xml:space="preserve">Устаревает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Выключен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Транспорты</w:t>
      </w:r>
      <w:r>
        <w:t xml:space="preserve"> </w:t>
      </w:r>
      <w:r>
        <w:t xml:space="preserve">- ссылки на transport-layer, например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Методы</w:t>
      </w:r>
      <w:r>
        <w:t xml:space="preserve"> </w:t>
      </w:r>
      <w:r>
        <w:t xml:space="preserve">- методы, входящие в контракт.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Ресурсы</w:t>
      </w:r>
      <w:r>
        <w:t xml:space="preserve"> </w:t>
      </w:r>
      <w:r>
        <w:t xml:space="preserve">- логические ресурсы контракта.</w:t>
      </w:r>
    </w:p>
    <w:p>
      <w:pPr>
        <w:pStyle w:val="FirstParagraph"/>
      </w:pPr>
      <w:r>
        <w:t xml:space="preserve">Черновики не попадают в обычный публичный экспорт. Они доступны для административных проверок и HealthCheck при включении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.</w:t>
      </w:r>
    </w:p>
    <w:bookmarkEnd w:id="17"/>
    <w:bookmarkStart w:id="18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contract registry, версиями методов и ресурсов, metadata, idempotency contract и API diagnostics.</w:t>
      </w:r>
    </w:p>
    <w:p>
      <w:pPr>
        <w:pStyle w:val="BodyText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остаются transport-слоями. Они принимают запросы и маршрутизируют вызовы, но не владеют API-контрактами.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хранит только metadata о требуемых правах и обязан обращаться к Security в runtime-операциях.</w:t>
      </w:r>
    </w:p>
    <w:p>
      <w:pPr>
        <w:pStyle w:val="BodyText"/>
      </w:pPr>
      <w:r>
        <w:rPr>
          <w:rStyle w:val="VerbatimChar"/>
        </w:rPr>
        <w:t xml:space="preserve">Secrets</w:t>
      </w:r>
      <w:r>
        <w:t xml:space="preserve"> </w:t>
      </w:r>
      <w:r>
        <w:t xml:space="preserve">хранит значения секретов. В API-контрактах и экспорте допустимы только ссылки на secrets.</w:t>
      </w:r>
    </w:p>
    <w:p>
      <w:pPr>
        <w:pStyle w:val="BodyText"/>
      </w:pPr>
      <w:r>
        <w:t xml:space="preserve">Доменные модули владеют бизнес-операциями и применением изменений.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не должен знать внутреннюю структуру их записей сверх опубликованной metadata.</w:t>
      </w:r>
    </w:p>
    <w:bookmarkEnd w:id="18"/>
    <w:bookmarkStart w:id="19" w:name="проверки"/>
    <w:p>
      <w:pPr>
        <w:pStyle w:val="Heading3"/>
      </w:pPr>
      <w:r>
        <w:t xml:space="preserve">4.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API/ValidateContractMetadata</w:t>
      </w:r>
      <w:r>
        <w:t xml:space="preserve"> </w:t>
      </w:r>
      <w:r>
        <w:t xml:space="preserve">проверяет форму одного контракта. 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проверяет системный legacy-контракт, дополнительные записи, metadata методов и отсутствие secret values в export.</w:t>
      </w:r>
    </w:p>
    <w:bookmarkEnd w:id="19"/>
    <w:bookmarkEnd w:id="20"/>
    <w:bookmarkStart w:id="24" w:name="профили-внешней-интеграции"/>
    <w:p>
      <w:pPr>
        <w:pStyle w:val="Heading2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21" w:name="что-хранит-профиль"/>
    <w:p>
      <w:pPr>
        <w:pStyle w:val="Heading3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3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3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3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3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3"/>
        </w:numPr>
      </w:pPr>
      <w:r>
        <w:t xml:space="preserve">transport profile;</w:t>
      </w:r>
    </w:p>
    <w:p>
      <w:pPr>
        <w:pStyle w:val="Compact"/>
        <w:numPr>
          <w:ilvl w:val="0"/>
          <w:numId w:val="1003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3"/>
        </w:numPr>
      </w:pPr>
      <w:r>
        <w:t xml:space="preserve">ссылки на Secrets;</w:t>
      </w:r>
    </w:p>
    <w:p>
      <w:pPr>
        <w:pStyle w:val="Compact"/>
        <w:numPr>
          <w:ilvl w:val="0"/>
          <w:numId w:val="1003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3"/>
        </w:numPr>
      </w:pPr>
      <w:r>
        <w:t xml:space="preserve">idempotency policy;</w:t>
      </w:r>
    </w:p>
    <w:p>
      <w:pPr>
        <w:pStyle w:val="Compact"/>
        <w:numPr>
          <w:ilvl w:val="0"/>
          <w:numId w:val="1003"/>
        </w:numPr>
      </w:pPr>
      <w:r>
        <w:t xml:space="preserve">external id policy;</w:t>
      </w:r>
    </w:p>
    <w:p>
      <w:pPr>
        <w:pStyle w:val="Compact"/>
        <w:numPr>
          <w:ilvl w:val="0"/>
          <w:numId w:val="1003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3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21"/>
    <w:bookmarkStart w:id="22" w:name="что-не-входит-в-профиль"/>
    <w:p>
      <w:pPr>
        <w:pStyle w:val="Heading3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4"/>
        </w:numPr>
      </w:pPr>
      <w:r>
        <w:t xml:space="preserve">Доменные модули применяют изменения и проверяют бизнес-правила.</w:t>
      </w:r>
    </w:p>
    <w:bookmarkEnd w:id="22"/>
    <w:bookmarkStart w:id="23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23"/>
    <w:bookmarkEnd w:id="24"/>
    <w:bookmarkStart w:id="30" w:name="mapping-и-externalid"/>
    <w:p>
      <w:pPr>
        <w:pStyle w:val="Heading2"/>
      </w:pPr>
      <w:r>
        <w:t xml:space="preserve">Mapping и ExternalId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ExternalId</w:t>
      </w:r>
      <w:r>
        <w:t xml:space="preserve"> </w:t>
      </w:r>
      <w:r>
        <w:t xml:space="preserve">являются общесистемными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интеграций. Они позволяют внешней системе однозначно связать свой объект с внутренним object type ИРБИС 128 и проверить payload до фактического применения изменений.</w:t>
      </w:r>
    </w:p>
    <w:bookmarkStart w:id="25" w:name="externalid"/>
    <w:p>
      <w:pPr>
        <w:pStyle w:val="Heading3"/>
      </w:pPr>
      <w:r>
        <w:t xml:space="preserve">1. ExternalId</w:t>
      </w:r>
    </w:p>
    <w:p>
      <w:pPr>
        <w:pStyle w:val="FirstParagraph"/>
      </w:pPr>
      <w:r>
        <w:rPr>
          <w:rStyle w:val="VerbatimChar"/>
        </w:rPr>
        <w:t xml:space="preserve">ExternalId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Внешний идентификатор</w:t>
      </w:r>
      <w:r>
        <w:t xml:space="preserve">.</w:t>
      </w:r>
    </w:p>
    <w:p>
      <w:pPr>
        <w:pStyle w:val="BodyText"/>
      </w:pPr>
      <w:r>
        <w:t xml:space="preserve">Связь включает:</w:t>
      </w:r>
    </w:p>
    <w:p>
      <w:pPr>
        <w:pStyle w:val="Compact"/>
        <w:numPr>
          <w:ilvl w:val="0"/>
          <w:numId w:val="1005"/>
        </w:numPr>
      </w:pPr>
      <w:r>
        <w:t xml:space="preserve">внешнюю систему;</w:t>
      </w:r>
    </w:p>
    <w:p>
      <w:pPr>
        <w:pStyle w:val="Compact"/>
        <w:numPr>
          <w:ilvl w:val="0"/>
          <w:numId w:val="1005"/>
        </w:numPr>
      </w:pPr>
      <w:r>
        <w:t xml:space="preserve">ключ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идентификатор;</w:t>
      </w:r>
    </w:p>
    <w:p>
      <w:pPr>
        <w:pStyle w:val="Compact"/>
        <w:numPr>
          <w:ilvl w:val="0"/>
          <w:numId w:val="1005"/>
        </w:numPr>
      </w:pPr>
      <w:r>
        <w:t xml:space="preserve">внутренний</w:t>
      </w:r>
      <w:r>
        <w:t xml:space="preserve"> </w:t>
      </w:r>
      <w:r>
        <w:rPr>
          <w:rStyle w:val="VerbatimChar"/>
        </w:rPr>
        <w:t xml:space="preserve">recordKey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recordRef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направление использования;</w:t>
      </w:r>
    </w:p>
    <w:p>
      <w:pPr>
        <w:pStyle w:val="Compact"/>
        <w:numPr>
          <w:ilvl w:val="0"/>
          <w:numId w:val="1005"/>
        </w:numPr>
      </w:pPr>
      <w:r>
        <w:t xml:space="preserve">статус связи;</w:t>
      </w:r>
    </w:p>
    <w:p>
      <w:pPr>
        <w:pStyle w:val="Compact"/>
        <w:numPr>
          <w:ilvl w:val="0"/>
          <w:numId w:val="1005"/>
        </w:numPr>
      </w:pPr>
      <w:r>
        <w:t xml:space="preserve">источник регистрации и даты подтверждения;</w:t>
      </w:r>
    </w:p>
    <w:p>
      <w:pPr>
        <w:pStyle w:val="Compact"/>
        <w:numPr>
          <w:ilvl w:val="0"/>
          <w:numId w:val="1005"/>
        </w:numPr>
      </w:pPr>
      <w:r>
        <w:t xml:space="preserve">правило уникальности.</w:t>
      </w:r>
    </w:p>
    <w:p>
      <w:pPr>
        <w:pStyle w:val="FirstParagraph"/>
      </w:pPr>
      <w:r>
        <w:t xml:space="preserve">Lookup выполняется только в области</w:t>
      </w:r>
      <w:r>
        <w:t xml:space="preserve"> </w:t>
      </w:r>
      <w:r>
        <w:rPr>
          <w:rStyle w:val="VerbatimChar"/>
        </w:rPr>
        <w:t xml:space="preserve">adapterProfileKey + externalSystem + objectType + externalId</w:t>
      </w:r>
      <w:r>
        <w:t xml:space="preserve">. Если в этой области найдено несколько активных связей, API возвращает диагностическую ошибку и не выбирает запись случайно.</w:t>
      </w:r>
    </w:p>
    <w:bookmarkEnd w:id="25"/>
    <w:bookmarkStart w:id="26" w:name="mappingprofile"/>
    <w:p>
      <w:pPr>
        <w:pStyle w:val="Heading3"/>
      </w:pPr>
      <w:r>
        <w:t xml:space="preserve">2. MappingProfile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Профиль mapping внешней интеграции</w:t>
      </w:r>
      <w:r>
        <w:t xml:space="preserve">.</w:t>
      </w:r>
    </w:p>
    <w:p>
      <w:pPr>
        <w:pStyle w:val="BodyText"/>
      </w:pPr>
      <w:r>
        <w:t xml:space="preserve">Профиль описывает:</w:t>
      </w:r>
    </w:p>
    <w:p>
      <w:pPr>
        <w:pStyle w:val="Compact"/>
        <w:numPr>
          <w:ilvl w:val="0"/>
          <w:numId w:val="1006"/>
        </w:numPr>
      </w:pPr>
      <w:r>
        <w:t xml:space="preserve">связь с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APIContract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внутренний object type и внешний object type;</w:t>
      </w:r>
    </w:p>
    <w:p>
      <w:pPr>
        <w:pStyle w:val="Compact"/>
        <w:numPr>
          <w:ilvl w:val="0"/>
          <w:numId w:val="1006"/>
        </w:numPr>
      </w:pPr>
      <w:r>
        <w:t xml:space="preserve">направление mapping;</w:t>
      </w:r>
    </w:p>
    <w:p>
      <w:pPr>
        <w:pStyle w:val="Compact"/>
        <w:numPr>
          <w:ilvl w:val="0"/>
          <w:numId w:val="1006"/>
        </w:numPr>
      </w:pPr>
      <w:r>
        <w:t xml:space="preserve">поле payload, в котором находится external id;</w:t>
      </w:r>
    </w:p>
    <w:p>
      <w:pPr>
        <w:pStyle w:val="Compact"/>
        <w:numPr>
          <w:ilvl w:val="0"/>
          <w:numId w:val="1006"/>
        </w:numPr>
      </w:pPr>
      <w:r>
        <w:t xml:space="preserve">required permissions для проверки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полей через stable field keys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workflow-статусов и переходов через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resolver-а пользователей и организаций через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ссылок на файлы через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.</w:t>
      </w:r>
    </w:p>
    <w:p>
      <w:pPr>
        <w:pStyle w:val="FirstParagraph"/>
      </w:pPr>
      <w:r>
        <w:t xml:space="preserve">В mapping нельзя указывать физические номера полей, подполей, внутренние пути файлов или значения секретов. API хранит только ссылки на владельцев контрактов.</w:t>
      </w:r>
    </w:p>
    <w:bookmarkEnd w:id="26"/>
    <w:bookmarkStart w:id="27" w:name="dry-run"/>
    <w:p>
      <w:pPr>
        <w:pStyle w:val="Heading3"/>
      </w:pPr>
      <w:r>
        <w:t xml:space="preserve">3. Dry-run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 </w:t>
      </w:r>
      <w:r>
        <w:t xml:space="preserve">принимает payload и mapping context. Она возвращает normalized result, matched ExternalId, proposed changes, required permissions, warnings и errors.</w:t>
      </w:r>
    </w:p>
    <w:p>
      <w:pPr>
        <w:pStyle w:val="BodyText"/>
      </w:pPr>
      <w:r>
        <w:t xml:space="preserve">Dry-run не сохраняет запись, не создает ExternalId, не выполняет workflow-переходы, не запускает post-functions, не отправляет события и не ставит задания в Queue.</w:t>
      </w:r>
    </w:p>
    <w:p>
      <w:pPr>
        <w:pStyle w:val="BodyText"/>
      </w:pPr>
      <w:r>
        <w:t xml:space="preserve">Если интеграции нужна проверка конфликтов, source-of-truth, идемпотентность и стандартный SyncApplyRequest для доменного модуля, используется следующий слой -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и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/</w:t>
      </w:r>
      <w:r>
        <w:rPr>
          <w:rStyle w:val="VerbatimChar"/>
        </w:rPr>
        <w:t xml:space="preserve">ConflictPolicy</w:t>
      </w:r>
      <w:r>
        <w:t xml:space="preserve">.</w:t>
      </w:r>
    </w:p>
    <w:bookmarkEnd w:id="27"/>
    <w:bookmarkStart w:id="28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API/GetExternalIdWhereUsed</w:t>
      </w:r>
      <w:r>
        <w:t xml:space="preserve"> </w:t>
      </w:r>
      <w:r>
        <w:t xml:space="preserve">показывает связанные ExternalId, mapping profiles и опубликованные API-методы, которые могут использовать эти настройки. Диагностика не раскрывает закрытые записи, скрытые поля, секреты и персональные данные без прав.</w:t>
      </w:r>
    </w:p>
    <w:bookmarkEnd w:id="28"/>
    <w:bookmarkStart w:id="29" w:name="границы-ответственности-1"/>
    <w:p>
      <w:pPr>
        <w:pStyle w:val="Heading3"/>
      </w:pPr>
      <w:r>
        <w:t xml:space="preserve">5.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реестром ExternalId, mapping profiles, lookup, where-used, dry-run mapping и безопасной диагностикой.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фактическим применением переходов.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владеют resolver-ами участников.</w:t>
      </w:r>
    </w:p>
    <w:p>
      <w:pPr>
        <w:pStyle w:val="BodyText"/>
      </w:pP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владеют файлами, staging и постоянным хранением.</w:t>
      </w:r>
    </w:p>
    <w:p>
      <w:pPr>
        <w:pStyle w:val="BodyText"/>
      </w:pPr>
      <w:r>
        <w:t xml:space="preserve">Доменные модули применяют нормализованные изменения к своим записям и проверяют бизнес-правила.</w:t>
      </w:r>
    </w:p>
    <w:bookmarkEnd w:id="29"/>
    <w:bookmarkEnd w:id="30"/>
    <w:bookmarkStart w:id="35" w:name="syncpolicy-и-conflictpolicy"/>
    <w:p>
      <w:pPr>
        <w:pStyle w:val="Heading2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31" w:name="syncpolicy"/>
    <w:p>
      <w:pPr>
        <w:pStyle w:val="Heading3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7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7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7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7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7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source-of-truth policy;</w:t>
      </w:r>
    </w:p>
    <w:p>
      <w:pPr>
        <w:pStyle w:val="Compact"/>
        <w:numPr>
          <w:ilvl w:val="0"/>
          <w:numId w:val="1007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7"/>
        </w:numPr>
      </w:pPr>
      <w:r>
        <w:t xml:space="preserve">idempotency scope;</w:t>
      </w:r>
    </w:p>
    <w:p>
      <w:pPr>
        <w:pStyle w:val="Compact"/>
        <w:numPr>
          <w:ilvl w:val="0"/>
          <w:numId w:val="1007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7"/>
        </w:numPr>
      </w:pPr>
      <w:r>
        <w:t xml:space="preserve">stale data policy;</w:t>
      </w:r>
    </w:p>
    <w:p>
      <w:pPr>
        <w:pStyle w:val="Compact"/>
        <w:numPr>
          <w:ilvl w:val="0"/>
          <w:numId w:val="1007"/>
        </w:numPr>
      </w:pPr>
      <w:r>
        <w:t xml:space="preserve">retry eligibility;</w:t>
      </w:r>
    </w:p>
    <w:p>
      <w:pPr>
        <w:pStyle w:val="Compact"/>
        <w:numPr>
          <w:ilvl w:val="0"/>
          <w:numId w:val="1007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31"/>
    <w:bookmarkStart w:id="32" w:name="conflictpolicy"/>
    <w:p>
      <w:pPr>
        <w:pStyle w:val="Heading3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32"/>
    <w:bookmarkStart w:id="33" w:name="dry-run-sync"/>
    <w:p>
      <w:pPr>
        <w:pStyle w:val="Heading3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9"/>
        </w:numPr>
      </w:pPr>
      <w:r>
        <w:t xml:space="preserve">normalized payload;</w:t>
      </w:r>
    </w:p>
    <w:p>
      <w:pPr>
        <w:pStyle w:val="Compact"/>
        <w:numPr>
          <w:ilvl w:val="0"/>
          <w:numId w:val="1009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9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9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9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9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9"/>
        </w:numPr>
      </w:pPr>
      <w:r>
        <w:t xml:space="preserve">conflict classes;</w:t>
      </w:r>
    </w:p>
    <w:p>
      <w:pPr>
        <w:pStyle w:val="Compact"/>
        <w:numPr>
          <w:ilvl w:val="0"/>
          <w:numId w:val="1009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9"/>
        </w:numPr>
      </w:pPr>
      <w:r>
        <w:t xml:space="preserve">idempotency fingerprint;</w:t>
      </w:r>
    </w:p>
    <w:p>
      <w:pPr>
        <w:pStyle w:val="Compact"/>
        <w:numPr>
          <w:ilvl w:val="0"/>
          <w:numId w:val="1009"/>
        </w:numPr>
      </w:pPr>
      <w:r>
        <w:t xml:space="preserve">trace metadata;</w:t>
      </w:r>
    </w:p>
    <w:p>
      <w:pPr>
        <w:pStyle w:val="Compact"/>
        <w:numPr>
          <w:ilvl w:val="0"/>
          <w:numId w:val="1009"/>
        </w:numPr>
      </w:pPr>
      <w:r>
        <w:t xml:space="preserve">Security summary;</w:t>
      </w:r>
    </w:p>
    <w:p>
      <w:pPr>
        <w:pStyle w:val="Compact"/>
        <w:numPr>
          <w:ilvl w:val="0"/>
          <w:numId w:val="1009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33"/>
    <w:bookmarkStart w:id="34" w:name="границы-ответственности-2"/>
    <w:p>
      <w:pPr>
        <w:pStyle w:val="Heading3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34"/>
    <w:bookmarkEnd w:id="35"/>
    <w:bookmarkStart w:id="105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36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41" w:name="функция-getuseruser_id"/>
    <w:p>
      <w:pPr>
        <w:pStyle w:val="Heading3"/>
      </w:pPr>
      <w:r>
        <w:t xml:space="preserve">Функция GetUser($user_id)</w:t>
      </w:r>
    </w:p>
    <w:bookmarkStart w:id="37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37"/>
    <w:bookmarkStart w:id="38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38"/>
    <w:bookmarkStart w:id="39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39"/>
    <w:bookmarkStart w:id="40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40"/>
    <w:bookmarkEnd w:id="41"/>
    <w:bookmarkStart w:id="46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42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42"/>
    <w:bookmarkStart w:id="43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43"/>
    <w:bookmarkStart w:id="44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45"/>
    <w:bookmarkEnd w:id="46"/>
    <w:bookmarkStart w:id="51" w:name="функция-deluseruser_id"/>
    <w:p>
      <w:pPr>
        <w:pStyle w:val="Heading3"/>
      </w:pPr>
      <w:r>
        <w:t xml:space="preserve">Функция DelUser($user_id = ’’)</w:t>
      </w:r>
    </w:p>
    <w:bookmarkStart w:id="47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47"/>
    <w:bookmarkStart w:id="48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49"/>
    <w:bookmarkStart w:id="50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50"/>
    <w:bookmarkEnd w:id="51"/>
    <w:bookmarkStart w:id="55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52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52"/>
    <w:bookmarkStart w:id="53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53"/>
    <w:bookmarkStart w:id="54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54"/>
    <w:bookmarkEnd w:id="55"/>
    <w:bookmarkStart w:id="60" w:name="функция-userformularuser_id"/>
    <w:p>
      <w:pPr>
        <w:pStyle w:val="Heading3"/>
      </w:pPr>
      <w:r>
        <w:t xml:space="preserve">Функция UserFormular($user_id)</w:t>
      </w:r>
    </w:p>
    <w:bookmarkStart w:id="56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56"/>
    <w:bookmarkStart w:id="57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57"/>
    <w:bookmarkStart w:id="58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10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0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10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10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10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10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58"/>
    <w:bookmarkStart w:id="59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9"/>
    <w:bookmarkEnd w:id="60"/>
    <w:bookmarkStart w:id="65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61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61"/>
    <w:bookmarkStart w:id="62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62"/>
    <w:bookmarkStart w:id="63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3"/>
    <w:bookmarkStart w:id="64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64"/>
    <w:bookmarkEnd w:id="65"/>
    <w:bookmarkStart w:id="70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66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66"/>
    <w:bookmarkStart w:id="67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67"/>
    <w:bookmarkStart w:id="68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8"/>
    <w:bookmarkStart w:id="69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69"/>
    <w:bookmarkEnd w:id="70"/>
    <w:bookmarkStart w:id="75" w:name="функция-getordersuser_id"/>
    <w:p>
      <w:pPr>
        <w:pStyle w:val="Heading3"/>
      </w:pPr>
      <w:r>
        <w:t xml:space="preserve">Функция GetOrders($user_id)</w:t>
      </w:r>
    </w:p>
    <w:bookmarkStart w:id="71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71"/>
    <w:bookmarkStart w:id="72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72"/>
    <w:bookmarkStart w:id="73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1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1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1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1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1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1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1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1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1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73"/>
    <w:bookmarkStart w:id="74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74"/>
    <w:bookmarkEnd w:id="75"/>
    <w:bookmarkStart w:id="80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76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76"/>
    <w:bookmarkStart w:id="77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77"/>
    <w:bookmarkStart w:id="78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78"/>
    <w:bookmarkStart w:id="79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79"/>
    <w:bookmarkEnd w:id="80"/>
    <w:bookmarkStart w:id="85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81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81"/>
    <w:bookmarkStart w:id="82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82"/>
    <w:bookmarkStart w:id="83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83"/>
    <w:bookmarkStart w:id="84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84"/>
    <w:bookmarkEnd w:id="85"/>
    <w:bookmarkStart w:id="91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86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86"/>
    <w:bookmarkStart w:id="87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87"/>
    <w:bookmarkStart w:id="89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88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89"/>
    <w:bookmarkStart w:id="90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90"/>
    <w:bookmarkEnd w:id="91"/>
    <w:bookmarkStart w:id="96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92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2"/>
    <w:bookmarkStart w:id="93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93"/>
    <w:bookmarkStart w:id="94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94"/>
    <w:bookmarkStart w:id="95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95"/>
    <w:bookmarkEnd w:id="96"/>
    <w:bookmarkStart w:id="100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97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7"/>
    <w:bookmarkStart w:id="98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98"/>
    <w:bookmarkStart w:id="99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99"/>
    <w:bookmarkEnd w:id="100"/>
    <w:bookmarkStart w:id="104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101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101"/>
    <w:bookmarkStart w:id="102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2"/>
    <w:bookmarkStart w:id="103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03"/>
    <w:bookmarkEnd w:id="104"/>
    <w:bookmarkEnd w:id="105"/>
    <w:bookmarkStart w:id="110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106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106"/>
    <w:bookmarkStart w:id="107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7"/>
    <w:bookmarkStart w:id="108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08"/>
    <w:bookmarkStart w:id="109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12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12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12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09"/>
    <w:bookmarkEnd w:id="110"/>
    <w:bookmarkEnd w:id="1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2026-11-08T00:29:49Z</dcterms:created>
  <dcterms:modified xsi:type="dcterms:W3CDTF">2026-11-08T00:29:49Z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