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8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Язык форматирования ИРБИС</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91" w:name="язык-форматирования-ирбис"/>
    <w:p>
      <w:pPr>
        <w:pStyle w:val="Heading1"/>
      </w:pPr>
      <w:r>
        <w:t xml:space="preserve">Язык форматирования ИРБИС</w:t>
      </w:r>
    </w:p>
    <w:bookmarkStart w:id="14" w:name="общие-сведения"/>
    <w:p>
      <w:pPr>
        <w:pStyle w:val="Heading2"/>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3"/>
      </w:pPr>
      <w:r>
        <w:t xml:space="preserve">1. Выполнение формата</w:t>
      </w:r>
    </w:p>
    <w:bookmarkStart w:id="9" w:name="форматёр"/>
    <w:p>
      <w:pPr>
        <w:pStyle w:val="Heading4"/>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3"/>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3"/>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3"/>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bookmarkStart w:id="15" w:name="Xfd4a2f57f5b27df21ec4043bcdddaae52d8eae8"/>
    <w:p>
      <w:pPr>
        <w:pStyle w:val="Heading2"/>
      </w:pPr>
      <w:r>
        <w:t xml:space="preserve">Переменные последовательного поиска для отладки форматов</w:t>
      </w:r>
    </w:p>
    <w:p>
      <w:pPr>
        <w:pStyle w:val="FirstParagraph"/>
      </w:pPr>
      <w:r>
        <w:t xml:space="preserve">ИРБИС-сервер Турбо при выполнении последовательного поиска передает в контекст формата служебные переменные окружения уровня формата. Они помогают анализировать, с каким поисковым выражением и с какой записью сейчас работает форматер, когда формат проверяется в режиме</w:t>
      </w:r>
      <w:r>
        <w:t xml:space="preserve"> </w:t>
      </w:r>
      <w:r>
        <w:t xml:space="preserve">“Отладка”</w:t>
      </w:r>
      <w:r>
        <w:t xml:space="preserve"> </w:t>
      </w:r>
      <w:r>
        <w:t xml:space="preserve">редактора форматов или используется в операторах глобальной корректировки.</w:t>
      </w:r>
    </w:p>
    <w:p>
      <w:pPr>
        <w:pStyle w:val="BodyText"/>
      </w:pPr>
      <w:r>
        <w:t xml:space="preserve">Значения назначаются на каждой итерации последовательного поиска. Поэтому в отладчике можно сопоставлять результат выполнения формата с текущим поисковым контекстом: исходным выражением, общим количеством найденных записей и номером обрабатываемой записи внутри результата.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Переменная</w:t>
            </w:r>
          </w:p>
        </w:tc>
        <w:tc>
          <w:tcPr/>
          <w:p>
            <w:pPr>
              <w:pStyle w:val="Compact"/>
            </w:pPr>
            <w:r>
              <w:t xml:space="preserve">Значение</w:t>
            </w:r>
          </w:p>
        </w:tc>
      </w:tr>
      <w:tr>
        <w:tc>
          <w:tcPr/>
          <w:p>
            <w:pPr>
              <w:pStyle w:val="Compact"/>
            </w:pPr>
            <w:r>
              <w:rPr>
                <w:rStyle w:val="VerbatimChar"/>
              </w:rPr>
              <w:t xml:space="preserve">IRBIS_SEARCH_REQ</w:t>
            </w:r>
          </w:p>
        </w:tc>
        <w:tc>
          <w:tcPr/>
          <w:p>
            <w:pPr>
              <w:pStyle w:val="Compact"/>
            </w:pPr>
            <w:r>
              <w:t xml:space="preserve">Поисковое выражение последовательного поиска.</w:t>
            </w:r>
          </w:p>
        </w:tc>
      </w:tr>
      <w:tr>
        <w:tc>
          <w:tcPr/>
          <w:p>
            <w:pPr>
              <w:pStyle w:val="Compact"/>
            </w:pPr>
            <w:r>
              <w:rPr>
                <w:rStyle w:val="VerbatimChar"/>
              </w:rPr>
              <w:t xml:space="preserve">IRBIS_SEARCH_REQFT</w:t>
            </w:r>
          </w:p>
        </w:tc>
        <w:tc>
          <w:tcPr/>
          <w:p>
            <w:pPr>
              <w:pStyle w:val="Compact"/>
            </w:pPr>
            <w:r>
              <w:t xml:space="preserve">Полнотекстовое поисковое выражение, если оно было передано. В глобальной корректировке сейчас не применяется и оставлено для будущих сценариев.</w:t>
            </w:r>
          </w:p>
        </w:tc>
      </w:tr>
      <w:tr>
        <w:tc>
          <w:tcPr/>
          <w:p>
            <w:pPr>
              <w:pStyle w:val="Compact"/>
            </w:pPr>
            <w:r>
              <w:rPr>
                <w:rStyle w:val="VerbatimChar"/>
              </w:rPr>
              <w:t xml:space="preserve">IRBIS_SEARCH_TOTAL</w:t>
            </w:r>
          </w:p>
        </w:tc>
        <w:tc>
          <w:tcPr/>
          <w:p>
            <w:pPr>
              <w:pStyle w:val="Compact"/>
            </w:pPr>
            <w:r>
              <w:t xml:space="preserve">Общее количество записей в результате поиска.</w:t>
            </w:r>
          </w:p>
        </w:tc>
      </w:tr>
      <w:tr>
        <w:tc>
          <w:tcPr/>
          <w:p>
            <w:pPr>
              <w:pStyle w:val="Compact"/>
            </w:pPr>
            <w:r>
              <w:rPr>
                <w:rStyle w:val="VerbatimChar"/>
              </w:rPr>
              <w:t xml:space="preserve">IRBIS_SEARCH_CUR</w:t>
            </w:r>
          </w:p>
        </w:tc>
        <w:tc>
          <w:tcPr/>
          <w:p>
            <w:pPr>
              <w:pStyle w:val="Compact"/>
            </w:pPr>
            <w:r>
              <w:t xml:space="preserve">Номер текущей итерации последовательного поиска, начиная с</w:t>
            </w:r>
            <w:r>
              <w:t xml:space="preserve"> </w:t>
            </w:r>
            <w:r>
              <w:rPr>
                <w:rStyle w:val="VerbatimChar"/>
              </w:rPr>
              <w:t xml:space="preserve">0</w:t>
            </w:r>
            <w:r>
              <w:t xml:space="preserve">.</w:t>
            </w:r>
          </w:p>
        </w:tc>
      </w:tr>
    </w:tbl>
    <w:p>
      <w:pPr>
        <w:pStyle w:val="BodyText"/>
      </w:pPr>
      <w:r>
        <w:t xml:space="preserve">Например, если последовательный поиск нашел пять записей, то</w:t>
      </w:r>
      <w:r>
        <w:t xml:space="preserve"> </w:t>
      </w:r>
      <w:r>
        <w:rPr>
          <w:rStyle w:val="VerbatimChar"/>
        </w:rPr>
        <w:t xml:space="preserve">IRBIS_SEARCH_TOTAL</w:t>
      </w:r>
      <w:r>
        <w:t xml:space="preserve"> </w:t>
      </w:r>
      <w:r>
        <w:t xml:space="preserve">будет равно</w:t>
      </w:r>
      <w:r>
        <w:t xml:space="preserve"> </w:t>
      </w:r>
      <w:r>
        <w:rPr>
          <w:rStyle w:val="VerbatimChar"/>
        </w:rPr>
        <w:t xml:space="preserve">5</w:t>
      </w:r>
      <w:r>
        <w:t xml:space="preserve">, а</w:t>
      </w:r>
      <w:r>
        <w:t xml:space="preserve"> </w:t>
      </w:r>
      <w:r>
        <w:rPr>
          <w:rStyle w:val="VerbatimChar"/>
        </w:rPr>
        <w:t xml:space="preserve">IRBIS_SEARCH_CUR</w:t>
      </w:r>
      <w:r>
        <w:t xml:space="preserve"> </w:t>
      </w:r>
      <w:r>
        <w:t xml:space="preserve">будет последовательно принимать значения от</w:t>
      </w:r>
      <w:r>
        <w:t xml:space="preserve"> </w:t>
      </w:r>
      <w:r>
        <w:rPr>
          <w:rStyle w:val="VerbatimChar"/>
        </w:rPr>
        <w:t xml:space="preserve">0</w:t>
      </w:r>
      <w:r>
        <w:t xml:space="preserve"> </w:t>
      </w:r>
      <w:r>
        <w:t xml:space="preserve">до</w:t>
      </w:r>
      <w:r>
        <w:t xml:space="preserve"> </w:t>
      </w:r>
      <w:r>
        <w:rPr>
          <w:rStyle w:val="VerbatimChar"/>
        </w:rPr>
        <w:t xml:space="preserve">4</w:t>
      </w:r>
      <w:r>
        <w:t xml:space="preserve">. Это позволяет понять, на каком шаге изменился результат формата и какой элемент набора поиска в этот момент обрабатывался.</w:t>
      </w:r>
    </w:p>
    <w:p>
      <w:pPr>
        <w:pStyle w:val="BodyText"/>
      </w:pPr>
      <w:r>
        <w:t xml:space="preserve">Переменные относятся именно к текущему выполнению формата. Не следует использовать их как постоянные настройки базы данных или рассчитывать на сохранение значения после завершения поиска.</w:t>
      </w:r>
    </w:p>
    <w:bookmarkEnd w:id="15"/>
    <w:bookmarkStart w:id="20" w:name="команды-вывода-полей"/>
    <w:p>
      <w:pPr>
        <w:pStyle w:val="Heading2"/>
      </w:pPr>
      <w:r>
        <w:t xml:space="preserve">Команды вывода полей</w:t>
      </w:r>
    </w:p>
    <w:p>
      <w:pPr>
        <w:pStyle w:val="FirstParagraph"/>
      </w:pPr>
      <w:r>
        <w:t xml:space="preserve">Команды вывода полей - это команды, используемые для извлечения из записи и вывода конкретного поля или подполя. Имеется специальная команда для извлечения и вывода номера записи MFN, хотя, строго говоря, MFN не является полем (MFN не имеет метки).</w:t>
      </w:r>
    </w:p>
    <w:bookmarkStart w:id="16" w:name="команда-вывода-поля"/>
    <w:p>
      <w:pPr>
        <w:pStyle w:val="Heading3"/>
      </w:pPr>
      <w:r>
        <w:t xml:space="preserve">1. Команда вывода поля</w:t>
      </w:r>
    </w:p>
    <w:p>
      <w:pPr>
        <w:pStyle w:val="FirstParagraph"/>
      </w:pPr>
      <w:r>
        <w:t xml:space="preserve">Для указания на необходимость вывода поля из записи необходимо записать букву v, за которой должна следовать метка поля. Это может быть прописная или строчная буква. Ниже приведены примеры применения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v200</w:t>
            </w:r>
          </w:p>
        </w:tc>
        <w:tc>
          <w:tcPr/>
          <w:p>
            <w:pPr>
              <w:pStyle w:val="Compact"/>
            </w:pPr>
            <w:r>
              <w:t xml:space="preserve">^aКонструктор Сухой. Люди и самолеты</w:t>
            </w:r>
          </w:p>
        </w:tc>
      </w:tr>
      <w:tr>
        <w:tc>
          <w:tcPr/>
          <w:p>
            <w:pPr>
              <w:pStyle w:val="Compact"/>
            </w:pPr>
            <w:r>
              <w:t xml:space="preserve">v700</w:t>
            </w:r>
          </w:p>
        </w:tc>
        <w:tc>
          <w:tcPr/>
          <w:p>
            <w:pPr>
              <w:pStyle w:val="Compact"/>
            </w:pPr>
            <w:r>
              <w:rPr>
                <w:vertAlign w:val="superscript"/>
              </w:rPr>
              <w:t xml:space="preserve">aКузьмина</w:t>
            </w:r>
            <w:r>
              <w:t xml:space="preserve">bЛ.М.</w:t>
            </w:r>
          </w:p>
        </w:tc>
      </w:tr>
      <w:tr>
        <w:tc>
          <w:tcPr/>
          <w:p>
            <w:pPr>
              <w:pStyle w:val="Compact"/>
            </w:pPr>
            <w:r>
              <w:t xml:space="preserve">v600</w:t>
            </w:r>
          </w:p>
        </w:tc>
        <w:tc>
          <w:tcPr/>
          <w:p>
            <w:pPr>
              <w:pStyle w:val="Compact"/>
            </w:pPr>
            <w:r>
              <w:t xml:space="preserve">^AСухой П.О.^Bо нем</w:t>
            </w:r>
          </w:p>
        </w:tc>
      </w:tr>
    </w:tbl>
    <w:bookmarkEnd w:id="16"/>
    <w:bookmarkStart w:id="17" w:name="команда-вывода-подполя"/>
    <w:p>
      <w:pPr>
        <w:pStyle w:val="Heading3"/>
      </w:pPr>
      <w:r>
        <w:t xml:space="preserve">2. Команда вывода подполя</w:t>
      </w:r>
    </w:p>
    <w:p>
      <w:pPr>
        <w:pStyle w:val="FirstParagraph"/>
      </w:pPr>
      <w:r>
        <w:t xml:space="preserve">Для вывода конкретного подполя из данного поля следует добавить соответствующий разделитель подполей к метке поля, как показано ниже. Заметим, что можно использовать специальный разделитель подполей ^* для вывода первого подполя, если оно есть. В этом случае, первому подполю необязательно должен предшествовать его разделитель.</w:t>
      </w:r>
      <w:r>
        <w:t xml:space="preserve"> </w:t>
      </w:r>
      <w:r>
        <w:t xml:space="preserve">Разделитель подполей может быть прописной или строчной буквой (обязательно латинской).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v210^с</w:t>
            </w:r>
          </w:p>
        </w:tc>
        <w:tc>
          <w:tcPr/>
          <w:p>
            <w:pPr>
              <w:pStyle w:val="Compact"/>
            </w:pPr>
            <w:r>
              <w:t xml:space="preserve">Военное изд-во</w:t>
            </w:r>
          </w:p>
        </w:tc>
      </w:tr>
      <w:tr>
        <w:tc>
          <w:tcPr/>
          <w:p>
            <w:pPr>
              <w:pStyle w:val="Compact"/>
            </w:pPr>
            <w:r>
              <w:t xml:space="preserve">v200^a</w:t>
            </w:r>
          </w:p>
        </w:tc>
        <w:tc>
          <w:tcPr/>
          <w:p>
            <w:pPr>
              <w:pStyle w:val="Compact"/>
            </w:pPr>
            <w:r>
              <w:t xml:space="preserve">Конструктор Сухой. Люди и самолеты</w:t>
            </w:r>
          </w:p>
        </w:tc>
      </w:tr>
      <w:tr>
        <w:tc>
          <w:tcPr/>
          <w:p>
            <w:pPr>
              <w:pStyle w:val="Compact"/>
            </w:pPr>
            <w:r>
              <w:t xml:space="preserve">v700^a</w:t>
            </w:r>
          </w:p>
        </w:tc>
        <w:tc>
          <w:tcPr/>
          <w:p>
            <w:pPr>
              <w:pStyle w:val="Compact"/>
            </w:pPr>
            <w:r>
              <w:t xml:space="preserve">Кузьмина</w:t>
            </w:r>
          </w:p>
        </w:tc>
      </w:tr>
      <w:tr>
        <w:tc>
          <w:tcPr/>
          <w:p>
            <w:pPr>
              <w:pStyle w:val="Compact"/>
            </w:pPr>
            <w:r>
              <w:t xml:space="preserve">v600^*</w:t>
            </w:r>
          </w:p>
        </w:tc>
        <w:tc>
          <w:tcPr/>
          <w:p>
            <w:pPr>
              <w:pStyle w:val="Compact"/>
            </w:pPr>
            <w:r>
              <w:t xml:space="preserve">Сухой П.О.</w:t>
            </w:r>
          </w:p>
        </w:tc>
      </w:tr>
    </w:tbl>
    <w:bookmarkEnd w:id="17"/>
    <w:bookmarkStart w:id="18" w:name="вывод-фрагмента-поля-или-подполя"/>
    <w:p>
      <w:pPr>
        <w:pStyle w:val="Heading3"/>
      </w:pPr>
      <w:r>
        <w:t xml:space="preserve">3. Вывод фрагмента поля или подполя</w:t>
      </w:r>
    </w:p>
    <w:p>
      <w:pPr>
        <w:pStyle w:val="FirstParagraph"/>
      </w:pPr>
      <w:r>
        <w:t xml:space="preserve">В некоторых случаях может возникнуть необходимость вывести часть поля, которая не является подполем, особенно тогда, когда поле имеет фиксированный формат (например, запись даты в виде ГГГГММДД). Это можно сделать командой смещение/длина, размещаемой сразу за командой вывода поля или подполя, к которому команда применяется.</w:t>
      </w:r>
    </w:p>
    <w:p>
      <w:pPr>
        <w:pStyle w:val="BodyText"/>
      </w:pPr>
      <w:r>
        <w:t xml:space="preserve">Эта команда имеет вид:</w:t>
      </w:r>
    </w:p>
    <w:p>
      <w:pPr>
        <w:pStyle w:val="SourceCode"/>
      </w:pPr>
      <w:r>
        <w:rPr>
          <w:rStyle w:val="NormalTok"/>
        </w:rPr>
        <w:t xml:space="preserve">*&lt;смещение&gt;.&lt;длина&gt;</w:t>
      </w:r>
    </w:p>
    <w:p>
      <w:pPr>
        <w:pStyle w:val="FirstParagraph"/>
      </w:pPr>
      <w:r>
        <w:t xml:space="preserve">где:</w:t>
      </w:r>
    </w:p>
    <w:p>
      <w:pPr>
        <w:pStyle w:val="BodyText"/>
      </w:pPr>
      <w:r>
        <w:t xml:space="preserve">*</w:t>
      </w:r>
      <w:r>
        <w:t xml:space="preserve"> </w:t>
      </w:r>
      <w:r>
        <w:t xml:space="preserve">Указывает позицию первого символа фрагмента, который должен быть извлечен из поля или подполя (позиции символов нумеруются с нуля, т.е. первый символ находится в пози-ции 0, второй - в позиции 1 и т.д.); если смещение не указано, то оно считается равным 0;</w:t>
      </w:r>
    </w:p>
    <w:p>
      <w:pPr>
        <w:pStyle w:val="BodyText"/>
      </w:pPr>
      <w:r>
        <w:t xml:space="preserve">.</w:t>
      </w:r>
      <w:r>
        <w:t xml:space="preserve"> </w:t>
      </w:r>
      <w:r>
        <w:t xml:space="preserve">Указывает количество извлекаемых символов. Если длина опущена, то извлекается все поле (подполе) до конца, начиная с символа, указанного в смещении.</w:t>
      </w:r>
    </w:p>
    <w:p>
      <w:pPr>
        <w:pStyle w:val="BodyText"/>
      </w:pPr>
      <w:r>
        <w:t xml:space="preserve">Ниже приведены примеры использования команды по отношению к записи, которая в качестве поля с меткой 1 содержит следующее значение:</w:t>
      </w:r>
    </w:p>
    <w:p>
      <w:pPr>
        <w:pStyle w:val="SourceCode"/>
      </w:pPr>
      <w:r>
        <w:rPr>
          <w:rStyle w:val="NormalTok"/>
        </w:rPr>
        <w:t xml:space="preserve">88-Nov-05</w:t>
      </w:r>
    </w:p>
    <w:p>
      <w:pPr>
        <w:pStyle w:val="FirstParagraph"/>
      </w:pPr>
      <w:r>
        <w:t xml:space="preserve">@@</w:t>
      </w:r>
      <w:r>
        <w:t xml:space="preserve">@warn</w:t>
      </w:r>
      <w:r>
        <w:t xml:space="preserve"> </w:t>
      </w:r>
      <w:r>
        <w:t xml:space="preserve">Обратите внимание на различные способы манипулирования полями с подполями в последних двух примерах. Если производится ссылка на поле целиком (например, v210), то нулевое смещение указывает на первую фактическую позицию поля (включая возможные разделители, стоящие в начале), а при ссылке на подполе (например, v210^с) нулевое смещение указывает на первый символ данных, стоящий после разделителя подполей.</w:t>
      </w:r>
      <w:r>
        <w:t xml:space="preserve"> </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v1*3.3</w:t>
            </w:r>
          </w:p>
        </w:tc>
        <w:tc>
          <w:tcPr/>
          <w:p>
            <w:pPr>
              <w:pStyle w:val="Compact"/>
            </w:pPr>
            <w:r>
              <w:t xml:space="preserve">Nov</w:t>
            </w:r>
          </w:p>
        </w:tc>
      </w:tr>
      <w:tr>
        <w:tc>
          <w:tcPr/>
          <w:p>
            <w:pPr>
              <w:pStyle w:val="Compact"/>
            </w:pPr>
            <w:r>
              <w:t xml:space="preserve">v1.2</w:t>
            </w:r>
          </w:p>
        </w:tc>
        <w:tc>
          <w:tcPr/>
          <w:p>
            <w:pPr>
              <w:pStyle w:val="Compact"/>
            </w:pPr>
            <w:r>
              <w:t xml:space="preserve">88</w:t>
            </w:r>
          </w:p>
        </w:tc>
      </w:tr>
      <w:tr>
        <w:tc>
          <w:tcPr/>
          <w:p>
            <w:pPr>
              <w:pStyle w:val="Compact"/>
            </w:pPr>
            <w:r>
              <w:t xml:space="preserve">v1*7</w:t>
            </w:r>
          </w:p>
        </w:tc>
        <w:tc>
          <w:tcPr/>
          <w:p>
            <w:pPr>
              <w:pStyle w:val="Compact"/>
            </w:pPr>
            <w:r>
              <w:t xml:space="preserve">05</w:t>
            </w:r>
          </w:p>
        </w:tc>
      </w:tr>
      <w:tr>
        <w:tc>
          <w:tcPr/>
          <w:p>
            <w:pPr>
              <w:pStyle w:val="Compact"/>
            </w:pPr>
            <w:r>
              <w:t xml:space="preserve">v1</w:t>
            </w:r>
            <w:r>
              <w:rPr>
                <w:i/>
                <w:iCs/>
              </w:rPr>
              <w:t xml:space="preserve">7,v1</w:t>
            </w:r>
            <w:r>
              <w:t xml:space="preserve">2.4</w:t>
            </w:r>
          </w:p>
        </w:tc>
        <w:tc>
          <w:tcPr/>
          <w:p>
            <w:pPr>
              <w:pStyle w:val="Compact"/>
            </w:pPr>
            <w:r>
              <w:t xml:space="preserve">05-Nov</w:t>
            </w:r>
          </w:p>
        </w:tc>
      </w:tr>
      <w:tr>
        <w:tc>
          <w:tcPr/>
          <w:p>
            <w:pPr>
              <w:pStyle w:val="Compact"/>
            </w:pPr>
            <w:r>
              <w:t xml:space="preserve">v1</w:t>
            </w:r>
            <w:r>
              <w:rPr>
                <w:i/>
                <w:iCs/>
              </w:rPr>
              <w:t xml:space="preserve">7,v1</w:t>
            </w:r>
            <w:r>
              <w:t xml:space="preserve">2.5,v1.2</w:t>
            </w:r>
          </w:p>
        </w:tc>
        <w:tc>
          <w:tcPr/>
          <w:p>
            <w:pPr>
              <w:pStyle w:val="Compact"/>
            </w:pPr>
            <w:r>
              <w:t xml:space="preserve">05-Nov-88</w:t>
            </w:r>
          </w:p>
        </w:tc>
      </w:tr>
      <w:tr>
        <w:tc>
          <w:tcPr/>
          <w:p>
            <w:pPr>
              <w:pStyle w:val="Compact"/>
            </w:pPr>
            <w:r>
              <w:t xml:space="preserve">v210.3</w:t>
            </w:r>
          </w:p>
        </w:tc>
        <w:tc>
          <w:tcPr/>
          <w:p>
            <w:pPr>
              <w:pStyle w:val="Compact"/>
            </w:pPr>
            <w:r>
              <w:t xml:space="preserve">^cВ</w:t>
            </w:r>
          </w:p>
        </w:tc>
      </w:tr>
      <w:tr>
        <w:tc>
          <w:tcPr/>
          <w:p>
            <w:pPr>
              <w:pStyle w:val="Compact"/>
            </w:pPr>
            <w:r>
              <w:t xml:space="preserve">v210^c.3</w:t>
            </w:r>
          </w:p>
        </w:tc>
        <w:tc>
          <w:tcPr/>
          <w:p>
            <w:pPr>
              <w:pStyle w:val="Compact"/>
            </w:pPr>
            <w:r>
              <w:t xml:space="preserve">Вое</w:t>
            </w:r>
          </w:p>
        </w:tc>
      </w:tr>
    </w:tbl>
    <w:bookmarkEnd w:id="18"/>
    <w:bookmarkStart w:id="19" w:name="команда-вывода-mfn"/>
    <w:p>
      <w:pPr>
        <w:pStyle w:val="Heading3"/>
      </w:pPr>
      <w:r>
        <w:t xml:space="preserve">4. Команда вывода MFN</w:t>
      </w:r>
    </w:p>
    <w:p>
      <w:pPr>
        <w:pStyle w:val="FirstParagraph"/>
      </w:pPr>
      <w:r>
        <w:t xml:space="preserve">Для вывода номера записи в файле документов служит команда MFN, формат которой:</w:t>
      </w:r>
    </w:p>
    <w:p>
      <w:pPr>
        <w:pStyle w:val="SourceCode"/>
      </w:pPr>
      <w:r>
        <w:rPr>
          <w:rStyle w:val="NormalTok"/>
        </w:rPr>
        <w:t xml:space="preserve">MFN или MFN(d),</w:t>
      </w:r>
    </w:p>
    <w:p>
      <w:pPr>
        <w:pStyle w:val="FirstParagraph"/>
      </w:pPr>
      <w:r>
        <w:t xml:space="preserve">где d - количество выводимых на экран цифр. Если параметр (d) опущен, то по умолчанию предполагается 6 цифр. Ниже приводятся примеры использования данной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p>
        </w:tc>
        <w:tc>
          <w:tcPr/>
          <w:p>
            <w:pPr>
              <w:pStyle w:val="Compact"/>
            </w:pPr>
            <w:r>
              <w:t xml:space="preserve">000034</w:t>
            </w:r>
          </w:p>
        </w:tc>
      </w:tr>
      <w:tr>
        <w:tc>
          <w:tcPr/>
          <w:p>
            <w:pPr>
              <w:pStyle w:val="Compact"/>
            </w:pPr>
            <w:r>
              <w:t xml:space="preserve">MFN(3)</w:t>
            </w:r>
          </w:p>
        </w:tc>
        <w:tc>
          <w:tcPr/>
          <w:p>
            <w:pPr>
              <w:pStyle w:val="Compact"/>
            </w:pPr>
            <w:r>
              <w:t xml:space="preserve">034</w:t>
            </w:r>
          </w:p>
        </w:tc>
      </w:tr>
      <w:tr>
        <w:tc>
          <w:tcPr/>
          <w:p>
            <w:pPr>
              <w:pStyle w:val="Compact"/>
            </w:pPr>
            <w:r>
              <w:t xml:space="preserve">MFN(2)</w:t>
            </w:r>
          </w:p>
        </w:tc>
        <w:tc>
          <w:tcPr/>
          <w:p>
            <w:pPr>
              <w:pStyle w:val="Compact"/>
            </w:pPr>
            <w:r>
              <w:t xml:space="preserve">34</w:t>
            </w:r>
          </w:p>
        </w:tc>
      </w:tr>
      <w:tr>
        <w:tc>
          <w:tcPr/>
          <w:p>
            <w:pPr>
              <w:pStyle w:val="Compact"/>
            </w:pPr>
            <w:r>
              <w:t xml:space="preserve">MFN(1)</w:t>
            </w:r>
          </w:p>
        </w:tc>
        <w:tc>
          <w:tcPr/>
          <w:p>
            <w:pPr>
              <w:pStyle w:val="Compact"/>
            </w:pPr>
            <w:r>
              <w:t xml:space="preserve">3</w:t>
            </w:r>
          </w:p>
        </w:tc>
      </w:tr>
    </w:tbl>
    <w:p>
      <w:pPr>
        <w:pStyle w:val="BodyText"/>
      </w:pPr>
      <w:r>
        <w:t xml:space="preserve">Заметим, что для подавления в MFN впереди стоящих нулей можно использовать функцию F.</w:t>
      </w:r>
    </w:p>
    <w:bookmarkEnd w:id="19"/>
    <w:bookmarkEnd w:id="20"/>
    <w:bookmarkStart w:id="21" w:name="команды-режима-вывода"/>
    <w:p>
      <w:pPr>
        <w:pStyle w:val="Heading2"/>
      </w:pPr>
      <w:r>
        <w:t xml:space="preserve">Команды режима вывода</w:t>
      </w:r>
    </w:p>
    <w:p>
      <w:pPr>
        <w:pStyle w:val="FirstParagraph"/>
      </w:pPr>
      <w:r>
        <w:t xml:space="preserve">Система может выводить данные в трех различных режимах:</w:t>
      </w:r>
      <w:r>
        <w:t xml:space="preserve"> </w:t>
      </w:r>
      <w:r>
        <w:t xml:space="preserve">*</w:t>
      </w:r>
      <w:r>
        <w:t xml:space="preserve"> </w:t>
      </w:r>
      <w:r>
        <w:rPr>
          <w:b/>
          <w:bCs/>
        </w:rPr>
        <w:t xml:space="preserve">Режим проверки.</w:t>
      </w:r>
      <w:r>
        <w:t xml:space="preserve"> </w:t>
      </w:r>
      <w:r>
        <w:t xml:space="preserve">В этом режиме поля выводятся в том виде, в каком они хранятся в записи. При этом система не обеспечивает никаких разделителей между полями или экземплярами повторяющихся полей. Пользователь должен обеспечить адекватное разделение полей с помощью команд размещения, литералов или повторяющихся групп. Режим обычно используется для вывода записей с целью проверки правильности введенных данных;</w:t>
      </w:r>
      <w:r>
        <w:t xml:space="preserve"> </w:t>
      </w:r>
      <w:r>
        <w:t xml:space="preserve">*</w:t>
      </w:r>
      <w:r>
        <w:t xml:space="preserve"> </w:t>
      </w:r>
      <w:r>
        <w:rPr>
          <w:b/>
          <w:bCs/>
        </w:rPr>
        <w:t xml:space="preserve">Режим заголовка.</w:t>
      </w:r>
      <w:r>
        <w:t xml:space="preserve"> </w:t>
      </w:r>
      <w:r>
        <w:t xml:space="preserve">Этот режим обычно используется для печати заголовков при выводе указателей и таблиц. Все управляющие символы, введенные вместе с данными, такие как разделители терминов (&lt; и &gt;) игнорируются (за исключением указанных ниже случаев), а разделители подполей заменяются знаками пунктуации (см. ниже);</w:t>
      </w:r>
      <w:r>
        <w:t xml:space="preserve"> </w:t>
      </w:r>
      <w:r>
        <w:t xml:space="preserve">*</w:t>
      </w:r>
      <w:r>
        <w:t xml:space="preserve"> </w:t>
      </w:r>
      <w:r>
        <w:rPr>
          <w:b/>
          <w:bCs/>
        </w:rPr>
        <w:t xml:space="preserve">Режим данных.</w:t>
      </w:r>
      <w:r>
        <w:t xml:space="preserve"> </w:t>
      </w:r>
      <w:r>
        <w:t xml:space="preserve">Этот режим похож на режим заголовка, но дополнительно после каждого поля автоматически ставится точка (.), за которой следуют два пробела (или просто два пробела, если поле заканчивается каким-либо знаком пунктуации). Отметим, однако, что эта автоматическая пунктуация подавляется, ес-ли за командой вывода поля следует суффикс-литерал.</w:t>
      </w:r>
    </w:p>
    <w:p>
      <w:pPr>
        <w:pStyle w:val="BodyText"/>
      </w:pPr>
      <w:r>
        <w:t xml:space="preserve">Когда система форматирует поле, содержащее подполе, в режимах заголовка или данных, она автоматически заменяет имеющиеся разделители подполей знаками пунктуации (при этом разделитель первого подполя, если он имеется, всегда игнорируется). Специальная комбинация символов</w:t>
      </w:r>
      <w:r>
        <w:t xml:space="preserve"> </w:t>
      </w:r>
      <w:r>
        <w:t xml:space="preserve">“&gt;&lt;”</w:t>
      </w:r>
      <w:r>
        <w:t xml:space="preserve"> </w:t>
      </w:r>
      <w:r>
        <w:t xml:space="preserve">заменяется на</w:t>
      </w:r>
      <w:r>
        <w:t xml:space="preserve"> </w:t>
      </w:r>
      <w:r>
        <w:t xml:space="preserve">“;”</w:t>
      </w:r>
      <w:r>
        <w:t xml:space="preserve"> </w:t>
      </w:r>
      <w:r>
        <w:t xml:space="preserve">(а отдельные символы “&lt;” и “&gt;” подавляются), обеспечивая простой способ форматирования полей, содержащих перечень ключевых фраз, заключенных в угловые скобки. Таблица стандартного замещения разделителей подполей выглядит так:</w:t>
      </w:r>
    </w:p>
    <w:p>
      <w:pPr>
        <w:pStyle w:val="Compact"/>
        <w:numPr>
          <w:ilvl w:val="0"/>
          <w:numId w:val="1003"/>
        </w:numPr>
      </w:pPr>
      <w:r>
        <w:t xml:space="preserve">^a замещается на</w:t>
      </w:r>
      <w:r>
        <w:t xml:space="preserve"> </w:t>
      </w:r>
      <w:r>
        <w:t xml:space="preserve">“;”</w:t>
      </w:r>
    </w:p>
    <w:p>
      <w:pPr>
        <w:pStyle w:val="Compact"/>
        <w:numPr>
          <w:ilvl w:val="0"/>
          <w:numId w:val="1003"/>
        </w:numPr>
      </w:pPr>
      <w:r>
        <w:t xml:space="preserve">от ^b до ^i замещается на</w:t>
      </w:r>
      <w:r>
        <w:t xml:space="preserve"> </w:t>
      </w:r>
      <w:r>
        <w:t xml:space="preserve">“,”</w:t>
      </w:r>
    </w:p>
    <w:p>
      <w:pPr>
        <w:pStyle w:val="Compact"/>
        <w:numPr>
          <w:ilvl w:val="0"/>
          <w:numId w:val="1003"/>
        </w:numPr>
      </w:pPr>
      <w:r>
        <w:t xml:space="preserve">все другие замещаются на</w:t>
      </w:r>
      <w:r>
        <w:t xml:space="preserve"> </w:t>
      </w:r>
      <w:r>
        <w:t xml:space="preserve">“.”</w:t>
      </w:r>
    </w:p>
    <w:p>
      <w:pPr>
        <w:pStyle w:val="FirstParagraph"/>
      </w:pPr>
      <w:r>
        <w:t xml:space="preserve">Команды режима вывода представляются в виде Mmc, где:</w:t>
      </w:r>
    </w:p>
    <w:p>
      <w:pPr>
        <w:pStyle w:val="BodyText"/>
      </w:pPr>
      <w:r>
        <w:t xml:space="preserve">М - признак команды режима вывода.</w:t>
      </w:r>
    </w:p>
    <w:p>
      <w:pPr>
        <w:pStyle w:val="BodyText"/>
      </w:pPr>
      <w:r>
        <w:t xml:space="preserve">m следующим образом определяет режим вывода:</w:t>
      </w:r>
      <w:r>
        <w:t xml:space="preserve"> </w:t>
      </w:r>
      <w:r>
        <w:t xml:space="preserve">* Р - режим проверки;</w:t>
      </w:r>
      <w:r>
        <w:t xml:space="preserve"> </w:t>
      </w:r>
      <w:r>
        <w:t xml:space="preserve">* H - режим заголовка;</w:t>
      </w:r>
      <w:r>
        <w:t xml:space="preserve"> </w:t>
      </w:r>
      <w:r>
        <w:t xml:space="preserve">* D - режим данных.</w:t>
      </w:r>
    </w:p>
    <w:p>
      <w:pPr>
        <w:pStyle w:val="BodyText"/>
      </w:pPr>
      <w:r>
        <w:t xml:space="preserve">с - определяет необходимость преобразования букв в прописные:</w:t>
      </w:r>
      <w:r>
        <w:t xml:space="preserve"> </w:t>
      </w:r>
      <w:r>
        <w:t xml:space="preserve">* U - буквы преобразуются в прописные;</w:t>
      </w:r>
      <w:r>
        <w:t xml:space="preserve"> </w:t>
      </w:r>
      <w:r>
        <w:t xml:space="preserve">* L - буквы преобразованию не подвергаются.</w:t>
      </w:r>
    </w:p>
    <w:p>
      <w:pPr>
        <w:pStyle w:val="BodyText"/>
      </w:pPr>
      <w:r>
        <w:t xml:space="preserve">Команда режима вывода может появляться в формате столько раз, сколько это нужно и действует до следующей команды режима вывода. По умолчанию система использует команду MPL. Ниже приведены примеры использования 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mpl,v200</w:t>
            </w:r>
          </w:p>
        </w:tc>
        <w:tc>
          <w:tcPr/>
          <w:p>
            <w:pPr>
              <w:pStyle w:val="Compact"/>
            </w:pPr>
            <w:r>
              <w:t xml:space="preserve">^aКонструктор Сухой. Люди и самолеты</w:t>
            </w:r>
          </w:p>
        </w:tc>
      </w:tr>
      <w:tr>
        <w:tc>
          <w:tcPr/>
          <w:p>
            <w:pPr>
              <w:pStyle w:val="Compact"/>
            </w:pPr>
            <w:r>
              <w:t xml:space="preserve">mhl,v200</w:t>
            </w:r>
          </w:p>
        </w:tc>
        <w:tc>
          <w:tcPr/>
          <w:p>
            <w:pPr>
              <w:pStyle w:val="Compact"/>
            </w:pPr>
            <w:r>
              <w:t xml:space="preserve">Конструктор Сухой. Люди и самолеты</w:t>
            </w:r>
          </w:p>
        </w:tc>
      </w:tr>
      <w:tr>
        <w:tc>
          <w:tcPr/>
          <w:p>
            <w:pPr>
              <w:pStyle w:val="Compact"/>
            </w:pPr>
            <w:r>
              <w:t xml:space="preserve">mdl,v200</w:t>
            </w:r>
          </w:p>
        </w:tc>
        <w:tc>
          <w:tcPr/>
          <w:p>
            <w:pPr>
              <w:pStyle w:val="Compact"/>
            </w:pPr>
            <w:r>
              <w:t xml:space="preserve">Конструктор Сухой. Люди и самолеты.</w:t>
            </w:r>
          </w:p>
        </w:tc>
      </w:tr>
      <w:tr>
        <w:tc>
          <w:tcPr/>
          <w:p>
            <w:pPr>
              <w:pStyle w:val="Compact"/>
            </w:pPr>
            <w:r>
              <w:t xml:space="preserve">mdu,v200</w:t>
            </w:r>
          </w:p>
        </w:tc>
        <w:tc>
          <w:tcPr/>
          <w:p>
            <w:pPr>
              <w:pStyle w:val="Compact"/>
            </w:pPr>
            <w:r>
              <w:t xml:space="preserve">КОНСТРУКТОР СУХОЙ. ЛЮДИ И САМОЛЕТЫ.</w:t>
            </w:r>
          </w:p>
        </w:tc>
      </w:tr>
      <w:tr>
        <w:tc>
          <w:tcPr/>
          <w:p>
            <w:pPr>
              <w:pStyle w:val="Compact"/>
            </w:pPr>
            <w:r>
              <w:t xml:space="preserve">mpl,v210</w:t>
            </w:r>
          </w:p>
        </w:tc>
        <w:tc>
          <w:tcPr/>
          <w:p>
            <w:pPr>
              <w:pStyle w:val="Compact"/>
            </w:pPr>
            <w:r>
              <w:t xml:space="preserve">^cВоенное изд-во</w:t>
            </w:r>
            <w:r>
              <w:rPr>
                <w:vertAlign w:val="superscript"/>
              </w:rPr>
              <w:t xml:space="preserve">aМ.</w:t>
            </w:r>
            <w:r>
              <w:t xml:space="preserve">d1993</w:t>
            </w:r>
          </w:p>
        </w:tc>
      </w:tr>
      <w:tr>
        <w:tc>
          <w:tcPr/>
          <w:p>
            <w:pPr>
              <w:pStyle w:val="Compact"/>
            </w:pPr>
            <w:r>
              <w:t xml:space="preserve">mdl,v210</w:t>
            </w:r>
          </w:p>
        </w:tc>
        <w:tc>
          <w:tcPr/>
          <w:p>
            <w:pPr>
              <w:pStyle w:val="Compact"/>
            </w:pPr>
            <w:r>
              <w:t xml:space="preserve">Военное изд-во; М., 1993.</w:t>
            </w:r>
          </w:p>
        </w:tc>
      </w:tr>
    </w:tbl>
    <w:bookmarkEnd w:id="21"/>
    <w:bookmarkStart w:id="22" w:name="Xc8e744e1b23373045df3de83aee6edc534369ee"/>
    <w:p>
      <w:pPr>
        <w:pStyle w:val="Heading2"/>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22"/>
    <w:bookmarkStart w:id="23" w:name="литералы"/>
    <w:p>
      <w:pPr>
        <w:pStyle w:val="Heading2"/>
      </w:pPr>
      <w:r>
        <w:t xml:space="preserve">Литералы</w:t>
      </w:r>
    </w:p>
    <w:p>
      <w:pPr>
        <w:pStyle w:val="FirstParagraph"/>
      </w:pPr>
      <w:r>
        <w:t xml:space="preserve">Литерал - это строка символов, заключенная в соответствующие ограничители, которая вносится в выводимый текст в таком виде, как она приведена в формате. Литералы могут использоваться, например, для именования полей.</w:t>
      </w:r>
    </w:p>
    <w:p>
      <w:pPr>
        <w:pStyle w:val="BodyText"/>
      </w:pPr>
      <w:r>
        <w:t xml:space="preserve">Существуют литералы трех типов:</w:t>
      </w:r>
      <w:r>
        <w:t xml:space="preserve"> </w:t>
      </w:r>
      <w:r>
        <w:t xml:space="preserve">*</w:t>
      </w:r>
      <w:r>
        <w:t xml:space="preserve"> </w:t>
      </w:r>
      <w:r>
        <w:rPr>
          <w:b/>
          <w:bCs/>
        </w:rPr>
        <w:t xml:space="preserve">Условный литерал.</w:t>
      </w:r>
      <w:r>
        <w:t xml:space="preserve"> </w:t>
      </w:r>
      <w:r>
        <w:t xml:space="preserve">Он определяет текст, который будет выведен только в случае присутствия в записи соответствующего ему поля/подполя. Если поле является повторяющимся, то текст будет выведен только один раз, независимо от количества экземпляров поля/подполя. Условные литералы заключаются в двойные кавычки (“), например,</w:t>
      </w:r>
    </w:p>
    <w:p>
      <w:pPr>
        <w:pStyle w:val="SourceCode"/>
      </w:pPr>
      <w:r>
        <w:rPr>
          <w:rStyle w:val="VerbatimChar"/>
        </w:rPr>
        <w:t xml:space="preserve">"Заглавие: "</w:t>
      </w:r>
    </w:p>
    <w:p>
      <w:pPr>
        <w:pStyle w:val="Compact"/>
        <w:numPr>
          <w:ilvl w:val="0"/>
          <w:numId w:val="1004"/>
        </w:numPr>
      </w:pPr>
      <w:r>
        <w:rPr>
          <w:b/>
          <w:bCs/>
        </w:rPr>
        <w:t xml:space="preserve">Повторяющийся литерал.</w:t>
      </w:r>
      <w:r>
        <w:t xml:space="preserve"> </w:t>
      </w:r>
      <w:r>
        <w:t xml:space="preserve">Он определяет текст, который будет выведен только в случае присутствия в записи соответствующего ему поля или подполя. Однако, если поле повторяющееся, литерал будет выводиться для каждого экземпляра поля/подполя. Повторяющиеся литералы заключаются в вертикальные черты (|), например,</w:t>
      </w:r>
    </w:p>
    <w:p>
      <w:pPr>
        <w:pStyle w:val="SourceCode"/>
      </w:pPr>
      <w:r>
        <w:rPr>
          <w:rStyle w:val="VerbatimChar"/>
        </w:rPr>
        <w:t xml:space="preserve">|Автор: |</w:t>
      </w:r>
    </w:p>
    <w:p>
      <w:pPr>
        <w:pStyle w:val="Compact"/>
        <w:numPr>
          <w:ilvl w:val="0"/>
          <w:numId w:val="1005"/>
        </w:numPr>
      </w:pPr>
      <w:r>
        <w:rPr>
          <w:b/>
          <w:bCs/>
        </w:rPr>
        <w:t xml:space="preserve">Безусловный литерал.</w:t>
      </w:r>
      <w:r>
        <w:t xml:space="preserve"> </w:t>
      </w:r>
      <w:r>
        <w:t xml:space="preserve">Он определяет текст, который будет выведен независимо от наличия поля в записи. Безусловные литералы заключаются в одинарные кавычки (’), например:</w:t>
      </w:r>
    </w:p>
    <w:p>
      <w:pPr>
        <w:pStyle w:val="SourceCode"/>
      </w:pPr>
      <w:r>
        <w:rPr>
          <w:rStyle w:val="VerbatimChar"/>
        </w:rPr>
        <w:t xml:space="preserve">'Краткое содержание'</w:t>
      </w:r>
    </w:p>
    <w:p>
      <w:pPr>
        <w:pStyle w:val="FirstParagraph"/>
      </w:pPr>
      <w:r>
        <w:t xml:space="preserve">или</w:t>
      </w:r>
    </w:p>
    <w:p>
      <w:pPr>
        <w:pStyle w:val="SourceCode"/>
      </w:pPr>
      <w:r>
        <w:rPr>
          <w:rStyle w:val="VerbatimChar"/>
        </w:rPr>
        <w:t xml:space="preserve">'Заголовок'</w:t>
      </w:r>
    </w:p>
    <w:p>
      <w:pPr>
        <w:pStyle w:val="FirstParagraph"/>
      </w:pPr>
      <w:r>
        <w:t xml:space="preserve">Литерал не должен содержать ограничителей литерала. Например, безусловный литерал не может содержать одинарную кавычку (хотя может содержать двойные кавычки и/или вертикальные черты).</w:t>
      </w:r>
    </w:p>
    <w:p>
      <w:pPr>
        <w:pStyle w:val="BodyText"/>
      </w:pPr>
      <w:r>
        <w:t xml:space="preserve">Условные и/или повторяющиеся литералы связываются с полем или подполем своим расположением в формате. Литералы, предшествующие команде вывода поля/подполя, называемые префикс-литералами, выводятся перед содержимым поля/подполя, в то время, как литералы, следующие за командой вывода поля/подполя, называемые суффикс-литералами, выводятся после содержимого поля/подполя.</w:t>
      </w:r>
    </w:p>
    <w:p>
      <w:pPr>
        <w:pStyle w:val="BodyText"/>
      </w:pPr>
      <w:r>
        <w:t xml:space="preserve">Если за повторяющимся префикс-литералом непосредственно следует знак</w:t>
      </w:r>
      <w:r>
        <w:t xml:space="preserve"> </w:t>
      </w:r>
      <w:r>
        <w:t xml:space="preserve">‘+’</w:t>
      </w:r>
      <w:r>
        <w:t xml:space="preserve"> </w:t>
      </w:r>
      <w:r>
        <w:t xml:space="preserve">(например, |xxx|+), то он будет выведен перед каждым, кроме первого, экземпляром поля/подполя.</w:t>
      </w:r>
    </w:p>
    <w:p>
      <w:pPr>
        <w:pStyle w:val="BodyText"/>
      </w:pPr>
      <w:r>
        <w:t xml:space="preserve">Если повторяющемуся суффикс-литералу непосредственно предшествует знак</w:t>
      </w:r>
      <w:r>
        <w:t xml:space="preserve"> </w:t>
      </w:r>
      <w:r>
        <w:t xml:space="preserve">‘+’</w:t>
      </w:r>
      <w:r>
        <w:t xml:space="preserve"> </w:t>
      </w:r>
      <w:r>
        <w:t xml:space="preserve">(например, +|xxx|), то он будет выведен после каждого, кроме последнего, экземпляра поля/подполя.</w:t>
      </w:r>
    </w:p>
    <w:p>
      <w:pPr>
        <w:pStyle w:val="BodyText"/>
      </w:pPr>
      <w:r>
        <w:t xml:space="preserve">С полем/подполем может быть связан более чем один литерал. В этом случае различные литералы должны подчиняться следующим правилам и порядку:</w:t>
      </w:r>
    </w:p>
    <w:p>
      <w:pPr>
        <w:pStyle w:val="Compact"/>
        <w:numPr>
          <w:ilvl w:val="0"/>
          <w:numId w:val="1006"/>
        </w:numPr>
      </w:pPr>
      <w:r>
        <w:rPr>
          <w:b/>
          <w:bCs/>
        </w:rPr>
        <w:t xml:space="preserve">префикс-литералы:</w:t>
      </w:r>
    </w:p>
    <w:p>
      <w:pPr>
        <w:pStyle w:val="Compact"/>
        <w:numPr>
          <w:ilvl w:val="1"/>
          <w:numId w:val="1007"/>
        </w:numPr>
      </w:pPr>
      <w:r>
        <w:t xml:space="preserve">Один или более условных префикс-литералов. За условным префикс-литералом могут следовать другие условные префикс-литералы, команды вертикального и горизонтального размещения, и/или команды режима вывода. Все команды между первым условным префикс-литералом и соответствующей ему командой вывода поля/подполя становятся условными и будут выполнены только при наличии поля/подполя, иначе они игнорируются.</w:t>
      </w:r>
    </w:p>
    <w:p>
      <w:pPr>
        <w:pStyle w:val="Compact"/>
        <w:numPr>
          <w:ilvl w:val="1"/>
          <w:numId w:val="1007"/>
        </w:numPr>
      </w:pPr>
      <w:r>
        <w:t xml:space="preserve">Один и только один повторяющийся префикс-литерал. Если такой литерал есть, то он должен непосредственно предшествовать соответствующей ему команде вывода поля/подполя.</w:t>
      </w:r>
    </w:p>
    <w:p>
      <w:pPr>
        <w:pStyle w:val="Compact"/>
        <w:numPr>
          <w:ilvl w:val="0"/>
          <w:numId w:val="1006"/>
        </w:numPr>
      </w:pPr>
      <w:r>
        <w:rPr>
          <w:b/>
          <w:bCs/>
        </w:rPr>
        <w:t xml:space="preserve">суффикс-литералы:</w:t>
      </w:r>
    </w:p>
    <w:p>
      <w:pPr>
        <w:pStyle w:val="Compact"/>
        <w:numPr>
          <w:ilvl w:val="1"/>
          <w:numId w:val="1008"/>
        </w:numPr>
      </w:pPr>
      <w:r>
        <w:t xml:space="preserve">Один и только один повторяющийся суффикс-литерал. Если такой литерал есть, то он должен следовать непосредственно за соответствующей ему командой вывода поля/подполя.</w:t>
      </w:r>
    </w:p>
    <w:p>
      <w:pPr>
        <w:pStyle w:val="Compact"/>
        <w:numPr>
          <w:ilvl w:val="1"/>
          <w:numId w:val="1008"/>
        </w:numPr>
      </w:pPr>
      <w:r>
        <w:t xml:space="preserve">Один и только один условный суффикс-литерал. Если такой лите-рал есть, то он должен следовать непосредственно за повторяющимся суффикс-литералом или связанной с ним командой вывода поля/подполя.</w:t>
      </w:r>
    </w:p>
    <w:p>
      <w:pPr>
        <w:pStyle w:val="Compact"/>
        <w:numPr>
          <w:ilvl w:val="1"/>
          <w:numId w:val="1008"/>
        </w:numPr>
      </w:pPr>
      <w:r>
        <w:t xml:space="preserve">Суффикс-литералы не должны разделяться запятыми и не должно быть запятой между командами вывода поля/подполя и первым суффикс-литералом, так как запятая обозначает конец суффикс-литералов, связанных с данной командой вывода поля/подполя.</w:t>
      </w:r>
    </w:p>
    <w:p>
      <w:pPr>
        <w:pStyle w:val="FirstParagraph"/>
      </w:pPr>
      <w:r>
        <w:rPr>
          <w:b/>
          <w:bCs/>
        </w:rPr>
        <w:t xml:space="preserve">Пустые литералы</w:t>
      </w:r>
      <w:r>
        <w:t xml:space="preserve">: (т. е. литералы нулевой длины, такие, например, как “” или ||) вполне допустимы и могут использоваться, например, как префикс-литералы для обеспечения условного вертикального размещения или как суффикс-литералы для временного подавления автоматической пунктуации, которая обеспечивается в режиме данных.</w:t>
      </w:r>
    </w:p>
    <w:p>
      <w:pPr>
        <w:pStyle w:val="BodyText"/>
      </w:pPr>
      <w:r>
        <w:t xml:space="preserve">Литералы подвергаются преобразованию в прописные буквы, если расположены после соответствующей команды режима вывода.</w:t>
      </w:r>
      <w:r>
        <w:t xml:space="preserve"> </w:t>
      </w:r>
      <w:r>
        <w:t xml:space="preserve">Примеры различных типов литералов приведены ниже.</w:t>
      </w:r>
    </w:p>
    <w:tbl>
      <w:tblPr>
        <w:tblStyle w:val="Table"/>
        <w:tblW w:type="pct" w:w="5000"/>
        <w:tblLayout w:type="fixed"/>
        <w:tblLook w:firstRow="1" w:lastRow="0" w:firstColumn="0" w:lastColumn="0" w:noHBand="0" w:noVBand="0" w:val="0020"/>
      </w:tblPr>
      <w:tblGrid>
        <w:gridCol w:w="3230"/>
        <w:gridCol w:w="4689"/>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‘MFN:’</w:t>
            </w:r>
            <w:r>
              <w:t xml:space="preserve">,mfn(3)</w:t>
            </w:r>
          </w:p>
        </w:tc>
        <w:tc>
          <w:tcPr/>
          <w:p>
            <w:pPr>
              <w:pStyle w:val="Compact"/>
            </w:pPr>
            <w:r>
              <w:t xml:space="preserve">MFN: 034</w:t>
            </w:r>
          </w:p>
        </w:tc>
      </w:tr>
      <w:tr>
        <w:tc>
          <w:tcPr/>
          <w:p>
            <w:pPr>
              <w:pStyle w:val="Compact"/>
            </w:pPr>
            <w:r>
              <w:t xml:space="preserve">mdl,</w:t>
            </w:r>
            <w:r>
              <w:t xml:space="preserve">“Заглавие:”</w:t>
            </w:r>
            <w:r>
              <w:t xml:space="preserve">v200</w:t>
            </w:r>
          </w:p>
        </w:tc>
        <w:tc>
          <w:tcPr/>
          <w:p>
            <w:pPr>
              <w:pStyle w:val="Compact"/>
            </w:pPr>
            <w:r>
              <w:t xml:space="preserve">Заглавие: Конструктор Сухой. Люди и самолеты.</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v675+|; |</w:t>
            </w:r>
          </w:p>
        </w:tc>
        <w:tc>
          <w:tcPr/>
          <w:p>
            <w:pPr>
              <w:pStyle w:val="Compact"/>
            </w:pPr>
            <w:r>
              <w:t xml:space="preserve">623.746; 623.746(092) Сухой П.О.</w:t>
            </w:r>
          </w:p>
        </w:tc>
      </w:tr>
      <w:tr>
        <w:tc>
          <w:tcPr/>
          <w:p>
            <w:pPr>
              <w:pStyle w:val="Compact"/>
            </w:pPr>
            <w:r>
              <w:t xml:space="preserve">|; |v675</w:t>
            </w:r>
          </w:p>
        </w:tc>
        <w:tc>
          <w:tcPr/>
          <w:p>
            <w:pPr>
              <w:pStyle w:val="Compact"/>
            </w:pPr>
            <w:r>
              <w:t xml:space="preserve">; 623.746; 623.746(092) Сухой П.О.</w:t>
            </w:r>
          </w:p>
        </w:tc>
      </w:tr>
      <w:tr>
        <w:tc>
          <w:tcPr/>
          <w:p>
            <w:pPr>
              <w:pStyle w:val="Compact"/>
            </w:pPr>
            <w:r>
              <w:t xml:space="preserve">|; |+v675</w:t>
            </w:r>
          </w:p>
        </w:tc>
        <w:tc>
          <w:tcPr/>
          <w:p>
            <w:pPr>
              <w:pStyle w:val="Compact"/>
            </w:pPr>
            <w:r>
              <w:t xml:space="preserve">623.746; 623.746(092) Сухой П.О.</w:t>
            </w:r>
          </w:p>
        </w:tc>
      </w:tr>
      <w:tr>
        <w:tc>
          <w:tcPr/>
          <w:p>
            <w:pPr>
              <w:pStyle w:val="Compact"/>
            </w:pPr>
            <w:r>
              <w:t xml:space="preserve">“УДК”</w:t>
            </w:r>
            <w:r>
              <w:t xml:space="preserve">/v675+|; |</w:t>
            </w:r>
          </w:p>
        </w:tc>
        <w:tc>
          <w:tcPr/>
          <w:p>
            <w:pPr>
              <w:pStyle w:val="Compact"/>
            </w:pPr>
            <w:r>
              <w:t xml:space="preserve">УДК</w:t>
            </w:r>
            <w:r>
              <w:t xml:space="preserve">623.746; 623.746(092) Сухой П.О.</w:t>
            </w:r>
          </w:p>
        </w:tc>
      </w:tr>
      <w:tr>
        <w:tc>
          <w:tcPr/>
          <w:p>
            <w:pPr>
              <w:pStyle w:val="Compact"/>
            </w:pPr>
            <w:r>
              <w:t xml:space="preserve">|(|v675|)|</w:t>
            </w:r>
          </w:p>
        </w:tc>
        <w:tc>
          <w:tcPr/>
          <w:p>
            <w:pPr>
              <w:pStyle w:val="Compact"/>
            </w:pPr>
            <w:r>
              <w:t xml:space="preserve">(623.746)(623.746(092) Сухой П.О.)</w:t>
            </w:r>
          </w:p>
        </w:tc>
      </w:tr>
      <w:tr>
        <w:tc>
          <w:tcPr/>
          <w:p>
            <w:pPr>
              <w:pStyle w:val="Compact"/>
            </w:pPr>
            <w:r>
              <w:t xml:space="preserve">“(УДК:”</w:t>
            </w:r>
            <w:r>
              <w:t xml:space="preserve">,v675+|; |</w:t>
            </w:r>
            <w:r>
              <w:t xml:space="preserve">“)”</w:t>
            </w:r>
          </w:p>
        </w:tc>
        <w:tc>
          <w:tcPr/>
          <w:p>
            <w:pPr>
              <w:pStyle w:val="Compact"/>
            </w:pPr>
            <w:r>
              <w:t xml:space="preserve">(УДК: 623.746; 623.746(092) Сухой П.О.)</w:t>
            </w:r>
          </w:p>
        </w:tc>
      </w:tr>
      <w:tr>
        <w:tc>
          <w:tcPr/>
          <w:p>
            <w:pPr>
              <w:pStyle w:val="Compact"/>
            </w:pPr>
            <w:r>
              <w:t xml:space="preserve">mdl,v210</w:t>
            </w:r>
          </w:p>
        </w:tc>
        <w:tc>
          <w:tcPr/>
          <w:p>
            <w:pPr>
              <w:pStyle w:val="Compact"/>
            </w:pPr>
            <w:r>
              <w:t xml:space="preserve">Военное изд-во; М., 1993.</w:t>
            </w:r>
          </w:p>
        </w:tc>
      </w:tr>
      <w:tr>
        <w:tc>
          <w:tcPr/>
          <w:p>
            <w:pPr>
              <w:pStyle w:val="Compact"/>
            </w:pPr>
            <w:r>
              <w:t xml:space="preserve">mdl,v210””</w:t>
            </w:r>
          </w:p>
        </w:tc>
        <w:tc>
          <w:tcPr/>
          <w:p>
            <w:pPr>
              <w:pStyle w:val="Compact"/>
            </w:pPr>
            <w:r>
              <w:t xml:space="preserve">Военное изд-во; М., 1993</w:t>
            </w:r>
          </w:p>
        </w:tc>
      </w:tr>
    </w:tbl>
    <w:bookmarkEnd w:id="23"/>
    <w:bookmarkStart w:id="24" w:name="команды-фиктивного-вывода-поля"/>
    <w:p>
      <w:pPr>
        <w:pStyle w:val="Heading2"/>
      </w:pPr>
      <w:r>
        <w:t xml:space="preserve">Команды фиктивного вывода поля</w:t>
      </w:r>
    </w:p>
    <w:p>
      <w:pPr>
        <w:pStyle w:val="FirstParagraph"/>
      </w:pPr>
      <w:r>
        <w:t xml:space="preserve">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 Задаются они следующим образом:</w:t>
      </w:r>
    </w:p>
    <w:p>
      <w:pPr>
        <w:pStyle w:val="SourceCode"/>
      </w:pPr>
      <w:r>
        <w:rPr>
          <w:rStyle w:val="NormalTok"/>
        </w:rPr>
        <w:t xml:space="preserve">Dt  или  Dt^x  или  Nt  или  Nt^x,</w:t>
      </w:r>
    </w:p>
    <w:p>
      <w:pPr>
        <w:pStyle w:val="FirstParagraph"/>
      </w:pPr>
      <w:r>
        <w:t xml:space="preserve">где:</w:t>
      </w:r>
      <w:r>
        <w:t xml:space="preserve"> </w:t>
      </w:r>
      <w:r>
        <w:t xml:space="preserve">* D или N указывает, что это команда фиктивного вывода поля.</w:t>
      </w:r>
      <w:r>
        <w:t xml:space="preserve"> </w:t>
      </w:r>
      <w:r>
        <w:t xml:space="preserve">* D указывает, что все соответствующие ей условные литералы должны выводиться только при наличии поля.</w:t>
      </w:r>
      <w:r>
        <w:t xml:space="preserve"> </w:t>
      </w:r>
      <w:r>
        <w:t xml:space="preserve">* N указывает, что они должны выводиться только при отсутствии поля;</w:t>
      </w:r>
      <w:r>
        <w:t xml:space="preserve"> </w:t>
      </w:r>
      <w:r>
        <w:t xml:space="preserve">* t метка поля, управляющего выводом литералов;</w:t>
      </w:r>
      <w:r>
        <w:t xml:space="preserve"> </w:t>
      </w:r>
      <w:r>
        <w:t xml:space="preserve">* ^x необязательный код разделителя подполя. Если он приведен, то это означает, что вывод литералов зависит от наличия или отсутствия определенного подполя (отметим, что отсутствие поля говорит и об отсутствии подполей в этом поле).</w:t>
      </w:r>
    </w:p>
    <w:p>
      <w:pPr>
        <w:pStyle w:val="BodyText"/>
      </w:pPr>
      <w:r>
        <w:t xml:space="preserve">Обычно команде фиктивного вывода поля предшествует, по крайней мере, один условный префикс-литерал (который может быть пустым), за которым могут следовать один или более других условных префикс-литералов, команды вертикального и горизонтального размещения и/или команды режима вывода. Команда фиктивного вывода поля не может иметь суффикс-литералов.</w:t>
      </w:r>
      <w:r>
        <w:t xml:space="preserve"> </w:t>
      </w:r>
      <w:r>
        <w:t xml:space="preserve">Несколько примеров использования этих команд приведены ниже.</w:t>
      </w:r>
    </w:p>
    <w:tbl>
      <w:tblPr>
        <w:tblStyle w:val="Table"/>
        <w:tblW w:type="pct" w:w="5000"/>
        <w:tblLayout w:type="fixed"/>
        <w:tblLook w:firstRow="1" w:lastRow="0" w:firstColumn="0" w:lastColumn="0" w:noHBand="0" w:noVBand="0" w:val="0020"/>
      </w:tblPr>
      <w:tblGrid>
        <w:gridCol w:w="3840"/>
        <w:gridCol w:w="408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“(Отсут.)”</w:t>
            </w:r>
            <w:r>
              <w:t xml:space="preserve">n700,v700</w:t>
            </w:r>
          </w:p>
        </w:tc>
        <w:tc>
          <w:tcPr/>
          <w:p>
            <w:pPr>
              <w:pStyle w:val="Compact"/>
            </w:pPr>
            <w:r>
              <w:t xml:space="preserve">Конструктор Сухой. Люди и самолеты</w:t>
            </w:r>
          </w:p>
        </w:tc>
      </w:tr>
      <w:tr>
        <w:tc>
          <w:tcPr/>
          <w:p>
            <w:pPr>
              <w:pStyle w:val="Compact"/>
            </w:pPr>
            <w:r>
              <w:t xml:space="preserve">“(Отсут.)”</w:t>
            </w:r>
            <w:r>
              <w:t xml:space="preserve">n80,v80+|; |</w:t>
            </w:r>
          </w:p>
        </w:tc>
        <w:tc>
          <w:tcPr/>
          <w:p>
            <w:pPr>
              <w:pStyle w:val="Compact"/>
            </w:pPr>
            <w:r>
              <w:t xml:space="preserve">(Отсут.)</w:t>
            </w:r>
          </w:p>
        </w:tc>
      </w:tr>
      <w:tr>
        <w:tc>
          <w:tcPr/>
          <w:p>
            <w:pPr>
              <w:pStyle w:val="Compact"/>
            </w:pPr>
            <w:r>
              <w:t xml:space="preserve">“[нет даты]”</w:t>
            </w:r>
            <w:r>
              <w:t xml:space="preserve">n907</w:t>
            </w:r>
            <w:r>
              <w:rPr>
                <w:vertAlign w:val="superscript"/>
              </w:rPr>
              <w:t xml:space="preserve">А,V907</w:t>
            </w:r>
            <w:r>
              <w:t xml:space="preserve">A</w:t>
            </w:r>
          </w:p>
        </w:tc>
        <w:tc>
          <w:tcPr/>
          <w:p>
            <w:pPr>
              <w:pStyle w:val="Compact"/>
            </w:pPr>
            <w:r>
              <w:t xml:space="preserve">19941123</w:t>
            </w:r>
          </w:p>
        </w:tc>
      </w:tr>
      <w:tr>
        <w:tc>
          <w:tcPr/>
          <w:p>
            <w:pPr>
              <w:pStyle w:val="Compact"/>
            </w:pPr>
            <w:r>
              <w:t xml:space="preserve">“[нет сведений]”</w:t>
            </w:r>
            <w:r>
              <w:t xml:space="preserve">n911,v911</w:t>
            </w:r>
          </w:p>
        </w:tc>
        <w:tc>
          <w:tcPr/>
          <w:p>
            <w:pPr>
              <w:pStyle w:val="Compact"/>
            </w:pPr>
            <w:r>
              <w:t xml:space="preserve">[нет сведений]</w:t>
            </w:r>
          </w:p>
        </w:tc>
      </w:tr>
    </w:tbl>
    <w:bookmarkEnd w:id="24"/>
    <w:bookmarkStart w:id="28" w:name="выражения"/>
    <w:p>
      <w:pPr>
        <w:pStyle w:val="Heading2"/>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25" w:name="числовые-выражения"/>
    <w:p>
      <w:pPr>
        <w:pStyle w:val="Heading3"/>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25"/>
    <w:bookmarkStart w:id="26" w:name="строковые-выражения"/>
    <w:p>
      <w:pPr>
        <w:pStyle w:val="Heading3"/>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26"/>
    <w:bookmarkStart w:id="27" w:name="логические-выражения."/>
    <w:p>
      <w:pPr>
        <w:pStyle w:val="Heading3"/>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9"/>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27"/>
    <w:bookmarkEnd w:id="28"/>
    <w:bookmarkStart w:id="349" w:name="функции"/>
    <w:p>
      <w:pPr>
        <w:pStyle w:val="Heading2"/>
      </w:pPr>
      <w:r>
        <w:t xml:space="preserve">Функции</w:t>
      </w:r>
    </w:p>
    <w:p>
      <w:pPr>
        <w:pStyle w:val="FirstParagraph"/>
      </w:pPr>
      <w:r>
        <w:t xml:space="preserve">Функция вычисляет значение (называемое значением функции или возвращаемым значением), которое затем подставляется вместо функции при вычислении выражения.</w:t>
      </w:r>
    </w:p>
    <w:p>
      <w:pPr>
        <w:pStyle w:val="BodyText"/>
      </w:pPr>
      <w:r>
        <w:t xml:space="preserve">Функции могут иметь один или более аргументов, которые необходимо задать для вычисления функции. Аргументы заключаются в скобки и разделяются запятыми.</w:t>
      </w:r>
    </w:p>
    <w:p>
      <w:pPr>
        <w:pStyle w:val="BodyText"/>
      </w:pPr>
      <w:r>
        <w:t xml:space="preserve">Аргументы могут быть следующих трех типов:</w:t>
      </w:r>
      <w:r>
        <w:t xml:space="preserve"> </w:t>
      </w:r>
      <w:r>
        <w:t xml:space="preserve">*</w:t>
      </w:r>
      <w:r>
        <w:t xml:space="preserve"> </w:t>
      </w:r>
      <w:r>
        <w:rPr>
          <w:b/>
          <w:bCs/>
        </w:rPr>
        <w:t xml:space="preserve">формат:</w:t>
      </w:r>
      <w:r>
        <w:t xml:space="preserve"> </w:t>
      </w:r>
      <w:r>
        <w:t xml:space="preserve">Произвольный формат, который может содержать любую разрешенную команду за исключением функции REF (в которой формат так же используется в качестве аргумента), функции передается не сам формат, а текст, полученный в результате вычисления формата;</w:t>
      </w:r>
      <w:r>
        <w:t xml:space="preserve"> </w:t>
      </w:r>
      <w:r>
        <w:t xml:space="preserve">*</w:t>
      </w:r>
      <w:r>
        <w:t xml:space="preserve"> </w:t>
      </w:r>
      <w:r>
        <w:rPr>
          <w:b/>
          <w:bCs/>
        </w:rPr>
        <w:t xml:space="preserve">числовое выражение:</w:t>
      </w:r>
      <w:r>
        <w:t xml:space="preserve"> </w:t>
      </w:r>
      <w:r>
        <w:t xml:space="preserve">при использовании числового выражения в качестве аргумента оно сначала вычисляется и затем вычисленное значение передается функции;</w:t>
      </w:r>
      <w:r>
        <w:t xml:space="preserve"> </w:t>
      </w:r>
      <w:r>
        <w:t xml:space="preserve">*</w:t>
      </w:r>
      <w:r>
        <w:t xml:space="preserve"> </w:t>
      </w:r>
      <w:r>
        <w:rPr>
          <w:b/>
          <w:bCs/>
        </w:rPr>
        <w:t xml:space="preserve">команда вывода поля:</w:t>
      </w:r>
      <w:r>
        <w:t xml:space="preserve"> </w:t>
      </w:r>
      <w:r>
        <w:t xml:space="preserve">в качестве аргумента могут быть команды вывода поля или подполя. Не допускается использовать в команде спецификацию смещение/длина.</w:t>
      </w:r>
    </w:p>
    <w:p>
      <w:pPr>
        <w:pStyle w:val="BodyText"/>
      </w:pPr>
      <w:r>
        <w:t xml:space="preserve">Ниже описываются допустимые функции и соответствующие им аргу-менты. Функции классифицированы в соответствии с типом возвращаемого значения.</w:t>
      </w:r>
    </w:p>
    <w:bookmarkStart w:id="38" w:name="числовые-функции"/>
    <w:p>
      <w:pPr>
        <w:pStyle w:val="Heading3"/>
      </w:pPr>
      <w:r>
        <w:t xml:space="preserve">Числовые функции</w:t>
      </w:r>
    </w:p>
    <w:bookmarkStart w:id="29" w:name="функция-valформат"/>
    <w:p>
      <w:pPr>
        <w:pStyle w:val="Heading4"/>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29"/>
    <w:bookmarkStart w:id="31" w:name="функция-rsumформат"/>
    <w:p>
      <w:pPr>
        <w:pStyle w:val="Heading4"/>
      </w:pPr>
      <w:r>
        <w:t xml:space="preserve">Функция RSUM(формат)</w:t>
      </w:r>
    </w:p>
    <w:p>
      <w:pPr>
        <w:pStyle w:val="FirstParagraph"/>
      </w:pPr>
      <w:r>
        <w:t xml:space="preserve">Функция RSUM возвращает сумму одного или более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все содержащиеся в ней числовые значения складываются. Полученная сумма является значением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RSUM может использоваться для вычисления суммы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 2, 3 и 4,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rsum (</w:t>
            </w:r>
            <w:r>
              <w:t xml:space="preserve">‘10,20,30’</w:t>
            </w:r>
            <w:r>
              <w:t xml:space="preserve">)</w:t>
            </w:r>
          </w:p>
        </w:tc>
        <w:tc>
          <w:tcPr/>
          <w:p>
            <w:pPr>
              <w:pStyle w:val="Compact"/>
            </w:pPr>
            <w:r>
              <w:t xml:space="preserve">60</w:t>
            </w:r>
          </w:p>
        </w:tc>
      </w:tr>
      <w:tr>
        <w:tc>
          <w:tcPr/>
          <w:p>
            <w:pPr>
              <w:pStyle w:val="Compact"/>
            </w:pPr>
            <w:r>
              <w:t xml:space="preserve">rsum (v1|;|)</w:t>
            </w:r>
          </w:p>
        </w:tc>
        <w:tc>
          <w:tcPr/>
          <w:p>
            <w:pPr>
              <w:pStyle w:val="Compact"/>
            </w:pPr>
            <w:r>
              <w:t xml:space="preserve">10</w:t>
            </w:r>
          </w:p>
        </w:tc>
      </w:tr>
      <w:tr>
        <w:tc>
          <w:tcPr/>
          <w:p>
            <w:pPr>
              <w:pStyle w:val="Compact"/>
            </w:pPr>
            <w:r>
              <w:t xml:space="preserve">rsum (v1|,|,</w:t>
            </w:r>
            <w:r>
              <w:t xml:space="preserve">‘48,3.5’</w:t>
            </w:r>
            <w:r>
              <w:t xml:space="preserve">)</w:t>
            </w:r>
          </w:p>
        </w:tc>
        <w:tc>
          <w:tcPr/>
          <w:p>
            <w:pPr>
              <w:pStyle w:val="Compact"/>
            </w:pPr>
            <w:r>
              <w:t xml:space="preserve">61.5</w:t>
            </w:r>
          </w:p>
        </w:tc>
      </w:tr>
    </w:tbl>
    <w:bookmarkEnd w:id="31"/>
    <w:bookmarkStart w:id="32" w:name="функция-rminформат"/>
    <w:p>
      <w:pPr>
        <w:pStyle w:val="Heading4"/>
      </w:pPr>
      <w:r>
        <w:t xml:space="preserve">Функция RMIN(формат)</w:t>
      </w:r>
    </w:p>
    <w:p>
      <w:pPr>
        <w:pStyle w:val="FirstParagraph"/>
      </w:pPr>
      <w:r>
        <w:t xml:space="preserve">Функция RMIN возвращает минимальное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наименьшее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RMIN может использоваться для вычисления минимального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rmin (</w:t>
            </w:r>
            <w:r>
              <w:t xml:space="preserve">‘1,2,-3’</w:t>
            </w:r>
            <w:r>
              <w:t xml:space="preserve">)</w:t>
            </w:r>
          </w:p>
        </w:tc>
        <w:tc>
          <w:tcPr/>
          <w:p>
            <w:pPr>
              <w:pStyle w:val="Compact"/>
            </w:pPr>
            <w:r>
              <w:t xml:space="preserve">-3</w:t>
            </w:r>
          </w:p>
        </w:tc>
      </w:tr>
      <w:tr>
        <w:tc>
          <w:tcPr/>
          <w:p>
            <w:pPr>
              <w:pStyle w:val="Compact"/>
            </w:pPr>
            <w:r>
              <w:t xml:space="preserve">rmin (v1|;|)</w:t>
            </w:r>
          </w:p>
        </w:tc>
        <w:tc>
          <w:tcPr/>
          <w:p>
            <w:pPr>
              <w:pStyle w:val="Compact"/>
            </w:pPr>
            <w:r>
              <w:t xml:space="preserve">10</w:t>
            </w:r>
          </w:p>
        </w:tc>
      </w:tr>
      <w:tr>
        <w:tc>
          <w:tcPr/>
          <w:p>
            <w:pPr>
              <w:pStyle w:val="Compact"/>
            </w:pPr>
            <w:r>
              <w:t xml:space="preserve">rmin (v1|,|,</w:t>
            </w:r>
            <w:r>
              <w:t xml:space="preserve">‘48,3.5’</w:t>
            </w:r>
            <w:r>
              <w:t xml:space="preserve">)</w:t>
            </w:r>
          </w:p>
        </w:tc>
        <w:tc>
          <w:tcPr/>
          <w:p>
            <w:pPr>
              <w:pStyle w:val="Compact"/>
            </w:pPr>
            <w:r>
              <w:t xml:space="preserve">3.5</w:t>
            </w:r>
          </w:p>
        </w:tc>
      </w:tr>
    </w:tbl>
    <w:bookmarkEnd w:id="32"/>
    <w:bookmarkStart w:id="33" w:name="функция-rmaxформат"/>
    <w:p>
      <w:pPr>
        <w:pStyle w:val="Heading4"/>
      </w:pPr>
      <w:r>
        <w:t xml:space="preserve">Функция RMAX(формат)</w:t>
      </w:r>
    </w:p>
    <w:p>
      <w:pPr>
        <w:pStyle w:val="FirstParagraph"/>
      </w:pPr>
      <w:r>
        <w:t xml:space="preserve">Функция RMAX возвращает максимальное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Алгебраически наибольшее из извлеченных чисел и будет результатом функции. От-дельные числовые значения должны быть разделены, по крайней мере, одним нечисловым символом, поэтому надо предусмотреть, чтобы такое разделение в формате присутствовало. Функция RMAX может использоваться для вычисления максимального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rmax (</w:t>
            </w:r>
            <w:r>
              <w:t xml:space="preserve">‘1, 2, -3’</w:t>
            </w:r>
            <w:r>
              <w:t xml:space="preserve">)</w:t>
            </w:r>
          </w:p>
        </w:tc>
        <w:tc>
          <w:tcPr/>
          <w:p>
            <w:pPr>
              <w:pStyle w:val="Compact"/>
            </w:pPr>
            <w:r>
              <w:t xml:space="preserve">2</w:t>
            </w:r>
          </w:p>
        </w:tc>
      </w:tr>
      <w:tr>
        <w:tc>
          <w:tcPr/>
          <w:p>
            <w:pPr>
              <w:pStyle w:val="Compact"/>
            </w:pPr>
            <w:r>
              <w:t xml:space="preserve">rmax (v1|;|)</w:t>
            </w:r>
          </w:p>
        </w:tc>
        <w:tc>
          <w:tcPr/>
          <w:p>
            <w:pPr>
              <w:pStyle w:val="Compact"/>
            </w:pPr>
            <w:r>
              <w:t xml:space="preserve">40</w:t>
            </w:r>
          </w:p>
        </w:tc>
      </w:tr>
      <w:tr>
        <w:tc>
          <w:tcPr/>
          <w:p>
            <w:pPr>
              <w:pStyle w:val="Compact"/>
            </w:pPr>
            <w:r>
              <w:t xml:space="preserve">rmax (v1|,|,</w:t>
            </w:r>
            <w:r>
              <w:t xml:space="preserve">‘48,3.5’</w:t>
            </w:r>
            <w:r>
              <w:t xml:space="preserve">)</w:t>
            </w:r>
          </w:p>
        </w:tc>
        <w:tc>
          <w:tcPr/>
          <w:p>
            <w:pPr>
              <w:pStyle w:val="Compact"/>
            </w:pPr>
            <w:r>
              <w:t xml:space="preserve">48</w:t>
            </w:r>
          </w:p>
        </w:tc>
      </w:tr>
    </w:tbl>
    <w:bookmarkEnd w:id="33"/>
    <w:bookmarkStart w:id="34" w:name="функция-ravrформат"/>
    <w:p>
      <w:pPr>
        <w:pStyle w:val="Heading4"/>
      </w:pPr>
      <w:r>
        <w:t xml:space="preserve">Функция RAVR(формат)</w:t>
      </w:r>
    </w:p>
    <w:p>
      <w:pPr>
        <w:pStyle w:val="FirstParagraph"/>
      </w:pPr>
      <w:r>
        <w:t xml:space="preserve">Функция RAVR возвращает среднее арифметическое значение одного или нескольких числовых значений. Сначала система вычисляет аргумент, представленный форматом, чтобы получить строку текста. Затем эта строка просматривается слева направо, как и в функции</w:t>
      </w:r>
      <w:r>
        <w:t xml:space="preserve"> </w:t>
      </w:r>
      <w:hyperlink r:id="rId30">
        <w:r>
          <w:rPr>
            <w:rStyle w:val="Hyperlink"/>
          </w:rPr>
          <w:t xml:space="preserve">VAL</w:t>
        </w:r>
      </w:hyperlink>
      <w:r>
        <w:t xml:space="preserve">, и из нее извлекаются все числа. Вычисленное среднее значение извлеченных чисел и будет результатом функции. Отдельные числовые значения должны быть разделены, по крайней мере, одним нечисловым символом, поэтому необходимо предусмотреть, чтобы такое разделение в формате присутствовало. Функция RAVR может использоваться для вычисления среднего значения среди всех числовых значений, содержащихся во всех экземплярах данного повторяющегося поля. Например, предполагая, что поле 1 имеет четыре экземпляра, содержащие числа 10, 20, 30 и 40, будем иметь:</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ravr (</w:t>
            </w:r>
            <w:r>
              <w:t xml:space="preserve">‘1, 2, -3’</w:t>
            </w:r>
            <w:r>
              <w:t xml:space="preserve">)</w:t>
            </w:r>
          </w:p>
        </w:tc>
        <w:tc>
          <w:tcPr/>
          <w:p>
            <w:pPr>
              <w:pStyle w:val="Compact"/>
            </w:pPr>
            <w:r>
              <w:t xml:space="preserve">0</w:t>
            </w:r>
          </w:p>
        </w:tc>
      </w:tr>
      <w:tr>
        <w:tc>
          <w:tcPr/>
          <w:p>
            <w:pPr>
              <w:pStyle w:val="Compact"/>
            </w:pPr>
            <w:r>
              <w:t xml:space="preserve">ravr (v1|;|)</w:t>
            </w:r>
          </w:p>
        </w:tc>
        <w:tc>
          <w:tcPr/>
          <w:p>
            <w:pPr>
              <w:pStyle w:val="Compact"/>
            </w:pPr>
            <w:r>
              <w:t xml:space="preserve">25</w:t>
            </w:r>
          </w:p>
        </w:tc>
      </w:tr>
      <w:tr>
        <w:tc>
          <w:tcPr/>
          <w:p>
            <w:pPr>
              <w:pStyle w:val="Compact"/>
            </w:pPr>
            <w:r>
              <w:t xml:space="preserve">ravr (v1|,|,</w:t>
            </w:r>
            <w:r>
              <w:t xml:space="preserve">‘48,3.5’</w:t>
            </w:r>
            <w:r>
              <w:t xml:space="preserve">)</w:t>
            </w:r>
          </w:p>
        </w:tc>
        <w:tc>
          <w:tcPr/>
          <w:p>
            <w:pPr>
              <w:pStyle w:val="Compact"/>
            </w:pPr>
            <w:r>
              <w:t xml:space="preserve">25.25</w:t>
            </w:r>
          </w:p>
        </w:tc>
      </w:tr>
    </w:tbl>
    <w:bookmarkEnd w:id="34"/>
    <w:bookmarkStart w:id="37" w:name="функция-lформат"/>
    <w:p>
      <w:pPr>
        <w:pStyle w:val="Heading4"/>
      </w:pPr>
      <w:r>
        <w:t xml:space="preserve">Функция L(формат)</w:t>
      </w:r>
    </w:p>
    <w:p>
      <w:pPr>
        <w:pStyle w:val="FirstParagraph"/>
      </w:pPr>
      <w:r>
        <w:t xml:space="preserve">Функция L использует текст, полученный в результате вычисления аргумента, в качестве термина доступа для инвертированного файла и возвращает MFN первой ссылки на этот термин, если она есть. Перед поиском в инвертированном файле термин автоматически переводится в прописные буквы. Если термин не найден, то функция принимает значение ноль. Функция L обычно используется вместе с функцией</w:t>
      </w:r>
      <w:r>
        <w:t xml:space="preserve"> </w:t>
      </w:r>
      <w:hyperlink r:id="rId35">
        <w:r>
          <w:rPr>
            <w:rStyle w:val="Hyperlink"/>
          </w:rPr>
          <w:t xml:space="preserve">REF</w:t>
        </w:r>
      </w:hyperlink>
      <w:r>
        <w:t xml:space="preserve">.</w:t>
      </w:r>
    </w:p>
    <w:p>
      <w:pPr>
        <w:pStyle w:val="BodyText"/>
      </w:pPr>
      <w:r>
        <w:t xml:space="preserve">@@</w:t>
      </w:r>
      <w:r>
        <w:t xml:space="preserve">@warn</w:t>
      </w:r>
      <w:r>
        <w:t xml:space="preserve"> </w:t>
      </w:r>
      <w:r>
        <w:t xml:space="preserve">Формат, расположенный в аргументе, вычисляется с использованием текущего</w:t>
      </w:r>
      <w:r>
        <w:t xml:space="preserve"> </w:t>
      </w:r>
      <w:hyperlink r:id="rId36">
        <w:r>
          <w:rPr>
            <w:rStyle w:val="Hyperlink"/>
          </w:rPr>
          <w:t xml:space="preserve">режима вывода</w:t>
        </w:r>
      </w:hyperlink>
      <w:r>
        <w:t xml:space="preserve">. Это является существенным, так как использование неправильного режима может привести к тому, что термин не будет найден в инвертированном файле. Как правило, следует использовать тот же режим, который применяется в ТВП для инвертированного файла.</w:t>
      </w:r>
      <w:r>
        <w:t xml:space="preserve"> </w:t>
      </w:r>
      <w:r>
        <w:t xml:space="preserve">@@@</w:t>
      </w:r>
    </w:p>
    <w:bookmarkEnd w:id="37"/>
    <w:bookmarkEnd w:id="38"/>
    <w:bookmarkStart w:id="344" w:name="строковые-функции"/>
    <w:p>
      <w:pPr>
        <w:pStyle w:val="Heading3"/>
      </w:pPr>
      <w:r>
        <w:t xml:space="preserve">Строковые функции</w:t>
      </w:r>
    </w:p>
    <w:p>
      <w:pPr>
        <w:pStyle w:val="FirstParagraph"/>
      </w:pPr>
      <w:r>
        <w:t xml:space="preserve">Строковые функции могут использоваться как операнды строковых выражений и как команды форматирования. Когда они используются как команды, значение функции будет форматироваться так, как если бы оно было полем документа.</w:t>
      </w:r>
    </w:p>
    <w:bookmarkStart w:id="39" w:name="функция-fвыр-1выр-2выр-3"/>
    <w:p>
      <w:pPr>
        <w:pStyle w:val="Heading4"/>
      </w:pPr>
      <w:r>
        <w:t xml:space="preserve">Функция F(выр-1,выр-2,выр-3)</w:t>
      </w:r>
    </w:p>
    <w:p>
      <w:pPr>
        <w:pStyle w:val="FirstParagraph"/>
      </w:pPr>
      <w:r>
        <w:t xml:space="preserve">Функция F преобразует числовое значение из его внутреннего представления с плавающей точкой в символьную строку. Все три аргумента являются числовыми выражениями.</w:t>
      </w:r>
    </w:p>
    <w:p>
      <w:pPr>
        <w:pStyle w:val="BodyText"/>
      </w:pPr>
      <w:r>
        <w:t xml:space="preserve">Первый аргумент, выр-1, является числом, которое необходимо преобразовать. Второй аргумент, выр-2, - минимальная длина выходной строки, выделяемая для результата, и третий аргумент, выр-3, - количество десятичных цифр. Второй и третий аргументы необязательны. Отметим, однако, что если присутствует выр-3, то выр-2 не может быть опущено.</w:t>
      </w:r>
    </w:p>
    <w:p>
      <w:pPr>
        <w:pStyle w:val="BodyText"/>
      </w:pPr>
      <w:r>
        <w:t xml:space="preserve">Выр-2 определяет минимальную длину, т. е. значением функции будет символьная строка длиной как минимум выр-2 символов, и если преобразуемое числовое значение требует выр-2 символов или меньше, оно будет выровнено по правой границе в пределах этой длины. Если количество символов, требуемое для представления значения выр-1, больше данной длины, то используются дополнительные позиции. В этом случае выходная строка будет длиннее, чем выр-2 символов.</w:t>
      </w:r>
    </w:p>
    <w:p>
      <w:pPr>
        <w:pStyle w:val="BodyText"/>
      </w:pPr>
      <w:r>
        <w:t xml:space="preserve">Выр-3 определяет количество десятичных цифр дробной части Выр-1. Если оно опущено, то результат будет представлен в экспоненциальной форме. Если при этом также опущено выр-2, то по умолчанию длина выходной строки будет равна 16 символам. Если выр-3 присутствует, то результатом будет округленное представление выр-1 с фиксированной точкой с выр-3 цифрами после десятичной точки. Если выр-3 равно нулю, то выр-1 округляется до ближайшего целого числа и результатом будет целое число без десятичной точки.</w:t>
      </w:r>
    </w:p>
    <w:p>
      <w:pPr>
        <w:pStyle w:val="BodyText"/>
      </w:pPr>
      <w:r>
        <w:t xml:space="preserve">Если при преобразовании целых чисел и чисел с фиксированной точкой оказывается, что целая часть числа слишком большая для ее представления, то выходная строка заменяется последовательностью символов “*“.</w:t>
      </w:r>
    </w:p>
    <w:p>
      <w:pPr>
        <w:pStyle w:val="BodyText"/>
      </w:pPr>
      <w:r>
        <w:t xml:space="preserve">Функция F может использоваться для выравнивания колонки чисел по десятичной точке путем выбора соответствующей длины.</w:t>
      </w:r>
    </w:p>
    <w:p>
      <w:pPr>
        <w:pStyle w:val="BodyText"/>
      </w:pPr>
      <w:r>
        <w:t xml:space="preserve">Примеры функции F приведены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f(1)</w:t>
            </w:r>
          </w:p>
        </w:tc>
        <w:tc>
          <w:tcPr/>
          <w:p>
            <w:pPr>
              <w:pStyle w:val="Compact"/>
            </w:pPr>
            <w:r>
              <w:t xml:space="preserve">1.000000000E+00</w:t>
            </w:r>
          </w:p>
        </w:tc>
      </w:tr>
      <w:tr>
        <w:tc>
          <w:tcPr/>
          <w:p>
            <w:pPr>
              <w:pStyle w:val="Compact"/>
            </w:pPr>
            <w:r>
              <w:t xml:space="preserve">f(1,10)</w:t>
            </w:r>
          </w:p>
        </w:tc>
        <w:tc>
          <w:tcPr/>
          <w:p>
            <w:pPr>
              <w:pStyle w:val="Compact"/>
            </w:pPr>
            <w:r>
              <w:t xml:space="preserve">1.000E+00</w:t>
            </w:r>
          </w:p>
        </w:tc>
      </w:tr>
      <w:tr>
        <w:tc>
          <w:tcPr/>
          <w:p>
            <w:pPr>
              <w:pStyle w:val="Compact"/>
            </w:pPr>
            <w:r>
              <w:t xml:space="preserve">f(-1,10,2)</w:t>
            </w:r>
          </w:p>
        </w:tc>
        <w:tc>
          <w:tcPr/>
          <w:p>
            <w:pPr>
              <w:pStyle w:val="Compact"/>
            </w:pPr>
            <w:r>
              <w:t xml:space="preserve">-1.00</w:t>
            </w:r>
          </w:p>
        </w:tc>
      </w:tr>
      <w:tr>
        <w:tc>
          <w:tcPr/>
          <w:p>
            <w:pPr>
              <w:pStyle w:val="Compact"/>
            </w:pPr>
            <w:r>
              <w:t xml:space="preserve">f(1,5,2)</w:t>
            </w:r>
          </w:p>
        </w:tc>
        <w:tc>
          <w:tcPr/>
          <w:p>
            <w:pPr>
              <w:pStyle w:val="Compact"/>
            </w:pPr>
            <w:r>
              <w:t xml:space="preserve">1.00</w:t>
            </w:r>
          </w:p>
        </w:tc>
      </w:tr>
      <w:tr>
        <w:tc>
          <w:tcPr/>
          <w:p>
            <w:pPr>
              <w:pStyle w:val="Compact"/>
            </w:pPr>
            <w:r>
              <w:t xml:space="preserve">f(1,8,2)</w:t>
            </w:r>
          </w:p>
        </w:tc>
        <w:tc>
          <w:tcPr/>
          <w:p>
            <w:pPr>
              <w:pStyle w:val="Compact"/>
            </w:pPr>
            <w:r>
              <w:t xml:space="preserve">1.00</w:t>
            </w:r>
          </w:p>
        </w:tc>
      </w:tr>
      <w:tr>
        <w:tc>
          <w:tcPr/>
          <w:p>
            <w:pPr>
              <w:pStyle w:val="Compact"/>
            </w:pPr>
            <w:r>
              <w:t xml:space="preserve">f(mfn,1,0)</w:t>
            </w:r>
          </w:p>
        </w:tc>
        <w:tc>
          <w:tcPr/>
          <w:p>
            <w:pPr>
              <w:pStyle w:val="Compact"/>
            </w:pPr>
            <w:r>
              <w:t xml:space="preserve">4</w:t>
            </w:r>
          </w:p>
        </w:tc>
      </w:tr>
      <w:tr>
        <w:tc>
          <w:tcPr/>
          <w:p>
            <w:pPr>
              <w:pStyle w:val="Compact"/>
            </w:pPr>
            <w:r>
              <w:t xml:space="preserve">f(mfn,2,0)</w:t>
            </w:r>
          </w:p>
        </w:tc>
        <w:tc>
          <w:tcPr/>
          <w:p>
            <w:pPr>
              <w:pStyle w:val="Compact"/>
            </w:pPr>
            <w:r>
              <w:t xml:space="preserve">4</w:t>
            </w:r>
          </w:p>
        </w:tc>
      </w:tr>
      <w:tr>
        <w:tc>
          <w:tcPr/>
          <w:p>
            <w:pPr>
              <w:pStyle w:val="Compact"/>
            </w:pPr>
            <w:r>
              <w:t xml:space="preserve">f(mfn,3,0)</w:t>
            </w:r>
          </w:p>
        </w:tc>
        <w:tc>
          <w:tcPr/>
          <w:p>
            <w:pPr>
              <w:pStyle w:val="Compact"/>
            </w:pPr>
            <w:r>
              <w:t xml:space="preserve">4</w:t>
            </w:r>
          </w:p>
        </w:tc>
      </w:tr>
    </w:tbl>
    <w:bookmarkEnd w:id="39"/>
    <w:bookmarkStart w:id="41" w:name="функция-refвыражение-формат"/>
    <w:p>
      <w:pPr>
        <w:pStyle w:val="Heading4"/>
      </w:pPr>
      <w:r>
        <w:t xml:space="preserve">Функция REF(выражение, формат)</w:t>
      </w:r>
    </w:p>
    <w:p>
      <w:pPr>
        <w:pStyle w:val="FirstParagraph"/>
      </w:pPr>
      <w:r>
        <w:t xml:space="preserve">Функция REF позволяет извлечь данные из альтернативной записи файла документов (той же самой БД). Первый аргумент - это числовое выражение, дающее MFN альтернативной записи, которая должна быть выбрана, а второй аргумент - это формат, который должен быть применен к этой записи. Если значение выражения не соответствует MFN ни одной из записей базы данных, то функция REF возвратит пустую строку.</w:t>
      </w:r>
    </w:p>
    <w:p>
      <w:pPr>
        <w:pStyle w:val="BodyText"/>
      </w:pPr>
      <w:r>
        <w:t xml:space="preserve">Функция REF - очень мощное средство, поскольку позволяет объединить данные, хранимые в различных записях базы данных, в один выводимый документ. В большинстве случаев связывание записей непосредственно через MFN может оказаться неудобным. Более удобным является использование возможности функции</w:t>
      </w:r>
      <w:r>
        <w:t xml:space="preserve"> </w:t>
      </w:r>
      <w:hyperlink r:id="rId40">
        <w:r>
          <w:rPr>
            <w:rStyle w:val="Hyperlink"/>
          </w:rPr>
          <w:t xml:space="preserve">L</w:t>
        </w:r>
      </w:hyperlink>
      <w:r>
        <w:t xml:space="preserve">. Напомним, что функция</w:t>
      </w:r>
      <w:r>
        <w:t xml:space="preserve"> </w:t>
      </w:r>
      <w:hyperlink r:id="rId40">
        <w:r>
          <w:rPr>
            <w:rStyle w:val="Hyperlink"/>
          </w:rPr>
          <w:t xml:space="preserve">L</w:t>
        </w:r>
      </w:hyperlink>
      <w:r>
        <w:t xml:space="preserve"> </w:t>
      </w:r>
      <w:r>
        <w:t xml:space="preserve">находит MFN, соответствующий термину доступа. Поэтому можно использовать ее для преобразования символьной строки в MFN. Для корректного использования функции</w:t>
      </w:r>
      <w:r>
        <w:t xml:space="preserve"> </w:t>
      </w:r>
      <w:hyperlink r:id="rId40">
        <w:r>
          <w:rPr>
            <w:rStyle w:val="Hyperlink"/>
          </w:rPr>
          <w:t xml:space="preserve">L</w:t>
        </w:r>
      </w:hyperlink>
      <w:r>
        <w:t xml:space="preserve"> </w:t>
      </w:r>
      <w:r>
        <w:t xml:space="preserve">нужно установить однозначное соответствие между символьной строкой и соответствующим ей MFN. Инвертированный файл предоставляет возможность установить такое соответствие.</w:t>
      </w:r>
    </w:p>
    <w:p>
      <w:pPr>
        <w:pStyle w:val="BodyText"/>
      </w:pPr>
      <w:r>
        <w:t xml:space="preserve">Система не делает никаких предположений относительно природы связей, существующих между записями. Она просто предоставляет механизм связывания записей.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 Например, если библиографическая запись описания статьи должна быть связана с записью соответствующего номера журнала, то необходимо поле для отражения природы этой связи (шифр номера журнала).</w:t>
      </w:r>
    </w:p>
    <w:p>
      <w:pPr>
        <w:pStyle w:val="BodyText"/>
      </w:pPr>
      <w:r>
        <w:t xml:space="preserve">@@</w:t>
      </w:r>
      <w:r>
        <w:t xml:space="preserve">@info</w:t>
      </w:r>
      <w:r>
        <w:t xml:space="preserve"> </w:t>
      </w:r>
      <w:r>
        <w:t xml:space="preserve">Так как второй аргумент функции REF является форматом, то имеется возможность использовать данную функцию рекурсивно с установлением многоуровневой иерархический связи.</w:t>
      </w:r>
      <w:r>
        <w:t xml:space="preserve"> </w:t>
      </w:r>
      <w:r>
        <w:t xml:space="preserve">@@@</w:t>
      </w:r>
    </w:p>
    <w:bookmarkEnd w:id="41"/>
    <w:bookmarkStart w:id="42" w:name="функция-sформат"/>
    <w:p>
      <w:pPr>
        <w:pStyle w:val="Heading4"/>
      </w:pPr>
      <w:r>
        <w:t xml:space="preserve">Функция S(формат)</w:t>
      </w:r>
    </w:p>
    <w:p>
      <w:pPr>
        <w:pStyle w:val="FirstParagraph"/>
      </w:pPr>
      <w:r>
        <w:t xml:space="preserve">Функция S возвращает текст, полученный в результате вычисления ее аргумента. Как было отмечено ранее, в системе нет явных операторов для строковых выражений. Однако, функция S может использоваться для выполнения конкатенации строк. Она оказывается довольно удобной в логических выражениях в качестве неявного оператора OR. Такое ее применение более эффективно по сравнению с явным использованием оператора OR. Например, следующие выражения:</w:t>
      </w:r>
    </w:p>
    <w:p>
      <w:pPr>
        <w:pStyle w:val="SourceCode"/>
      </w:pPr>
      <w:r>
        <w:rPr>
          <w:rStyle w:val="VerbatimChar"/>
        </w:rPr>
        <w:t xml:space="preserve">S(mdl,v10,v20,v30) : 'вода'</w:t>
      </w:r>
      <w:r>
        <w:br/>
      </w:r>
      <w:r>
        <w:rPr>
          <w:rStyle w:val="VerbatimChar"/>
        </w:rPr>
        <w:t xml:space="preserve">v10 : 'вода' OR v20 : 'вода' OR v30 : 'вода'</w:t>
      </w:r>
    </w:p>
    <w:p>
      <w:pPr>
        <w:pStyle w:val="FirstParagraph"/>
      </w:pPr>
      <w:r>
        <w:t xml:space="preserve">эквивалентны (они оба истинны, если хоть одно из полей 10, 20 или 30 содержит строку</w:t>
      </w:r>
      <w:r>
        <w:t xml:space="preserve"> </w:t>
      </w:r>
      <w:r>
        <w:t xml:space="preserve">‘вода’</w:t>
      </w:r>
      <w:r>
        <w:t xml:space="preserve">), но первое будет выполнено гораздо быстрее второго.</w:t>
      </w:r>
      <w:r>
        <w:t xml:space="preserve"> </w:t>
      </w:r>
      <w:r>
        <w:t xml:space="preserve">Эта функция может также использоваться для конкатенации строк с целью последующего их вывода.</w:t>
      </w:r>
    </w:p>
    <w:bookmarkEnd w:id="42"/>
    <w:bookmarkStart w:id="343" w:name="X45cbdf0af798fee7cc5255962b14d5d3c4e1c28"/>
    <w:p>
      <w:pPr>
        <w:pStyle w:val="Heading4"/>
      </w:pPr>
      <w:r>
        <w:t xml:space="preserve">Подключение программ к формату (форматные выходы)</w:t>
      </w:r>
    </w:p>
    <w:p>
      <w:pPr>
        <w:pStyle w:val="FirstParagraph"/>
      </w:pPr>
      <w:r>
        <w:t xml:space="preserve">В формате вывода можно использовать программные функции, предназначенные для выполнения таких операций по форматированию, которые не могут быть выполнены с помощью собственно языка форматирования. Такие функции, подключаемые к формату, называются форматные выходы или формат-программы. По сути данные функции выходят за рамки собственно языка форматирования, а сама система просто предоставляет некоторый стандартный интерфейс передачи данных для таких функций.</w:t>
      </w:r>
      <w:r>
        <w:t xml:space="preserve"> </w:t>
      </w:r>
      <w:r>
        <w:t xml:space="preserve">С точки зрения языка форматирования формат-программы являются строковыми функциями с форматом в качестве аргумента. При этом сначала вычисляется аргумент, а затем он передается функции. Формат-программа возвращает строку символов, с которой система обращается так, как если бы она была полем форматируемого документа.</w:t>
      </w:r>
      <w:r>
        <w:t xml:space="preserve"> </w:t>
      </w:r>
      <w:r>
        <w:t xml:space="preserve">Обращение к формат-программе в формате производится следующим образом:</w:t>
      </w:r>
    </w:p>
    <w:p>
      <w:pPr>
        <w:pStyle w:val="SourceCode"/>
      </w:pPr>
      <w:r>
        <w:rPr>
          <w:rStyle w:val="NormalTok"/>
        </w:rPr>
        <w:t xml:space="preserve">&amp;имя(формат)</w:t>
      </w:r>
    </w:p>
    <w:p>
      <w:pPr>
        <w:pStyle w:val="FirstParagraph"/>
      </w:pPr>
      <w:r>
        <w:t xml:space="preserve">где:</w:t>
      </w:r>
      <w:r>
        <w:t xml:space="preserve"> </w:t>
      </w:r>
      <w:r>
        <w:t xml:space="preserve">* &amp; - Идентификатор вызова формат-программы;</w:t>
      </w:r>
      <w:r>
        <w:t xml:space="preserve"> </w:t>
      </w:r>
      <w:r>
        <w:t xml:space="preserve">* Имя - Имя формат-программы;</w:t>
      </w:r>
      <w:r>
        <w:t xml:space="preserve"> </w:t>
      </w:r>
      <w:r>
        <w:t xml:space="preserve">* Формат - Аргумент.</w:t>
      </w:r>
    </w:p>
    <w:p>
      <w:pPr>
        <w:pStyle w:val="BodyText"/>
      </w:pPr>
      <w:r>
        <w:t xml:space="preserve">Система предлагает для использования комплексную формат-программу UNIFOR, реализующую различные специфические функции. Вид реализуемой функции определяется первым символом строки, которая формируется в результате выполнения формата, передаваемого в качестве аргумента формат-программы.</w:t>
      </w:r>
    </w:p>
    <w:bookmarkStart w:id="43" w:name="исключенные-юнифоры-перекодирования"/>
    <w:p>
      <w:pPr>
        <w:pStyle w:val="Heading5"/>
      </w:pPr>
      <w:r>
        <w:t xml:space="preserve">1. Исключенные юнифоры перекодирования</w:t>
      </w:r>
    </w:p>
    <w:p>
      <w:pPr>
        <w:pStyle w:val="FirstParagraph"/>
      </w:pPr>
      <w:r>
        <w:t xml:space="preserve">В актуальном форматере юнифоры</w:t>
      </w:r>
      <w:r>
        <w:t xml:space="preserve"> </w:t>
      </w:r>
      <w:r>
        <w:rPr>
          <w:rStyle w:val="VerbatimChar"/>
        </w:rPr>
        <w:t xml:space="preserve">+Z0</w:t>
      </w:r>
      <w:r>
        <w:t xml:space="preserve">,</w:t>
      </w:r>
      <w:r>
        <w:t xml:space="preserve"> </w:t>
      </w:r>
      <w:r>
        <w:rPr>
          <w:rStyle w:val="VerbatimChar"/>
        </w:rPr>
        <w:t xml:space="preserve">+Z1</w:t>
      </w:r>
      <w:r>
        <w:t xml:space="preserve">,</w:t>
      </w:r>
      <w:r>
        <w:t xml:space="preserve"> </w:t>
      </w:r>
      <w:r>
        <w:rPr>
          <w:rStyle w:val="VerbatimChar"/>
        </w:rPr>
        <w:t xml:space="preserve">+3U</w:t>
      </w:r>
      <w:r>
        <w:t xml:space="preserve"> </w:t>
      </w:r>
      <w:r>
        <w:t xml:space="preserve">и</w:t>
      </w:r>
      <w:r>
        <w:t xml:space="preserve"> </w:t>
      </w:r>
      <w:r>
        <w:rPr>
          <w:rStyle w:val="VerbatimChar"/>
        </w:rPr>
        <w:t xml:space="preserve">+3W</w:t>
      </w:r>
      <w:r>
        <w:t xml:space="preserve"> </w:t>
      </w:r>
      <w:r>
        <w:t xml:space="preserve">не выполняют перекодирование. Они возвращают переданную строку без изменений и оставлены только для совместимости форматов, где такие вызовы уже встречаются.</w:t>
      </w:r>
    </w:p>
    <w:p>
      <w:pPr>
        <w:pStyle w:val="BodyText"/>
      </w:pPr>
      <w:r>
        <w:t xml:space="preserve">Не используйте эти юнифоры как способ преобразования между DOS, Windows-1251 и UTF-8. Вывод форматов, включая результат</w:t>
      </w:r>
      <w:r>
        <w:t xml:space="preserve"> </w:t>
      </w:r>
      <w:r>
        <w:rPr>
          <w:rStyle w:val="VerbatimChar"/>
        </w:rPr>
        <w:t xml:space="preserve">UNIFOR</w:t>
      </w:r>
      <w:r>
        <w:t xml:space="preserve">, должен рассматриваться как UTF-8.</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Юнифор</w:t>
            </w:r>
          </w:p>
        </w:tc>
        <w:tc>
          <w:tcPr/>
          <w:p>
            <w:pPr>
              <w:pStyle w:val="Compact"/>
            </w:pPr>
            <w:r>
              <w:t xml:space="preserve">Ранее описывавшееся назначение</w:t>
            </w:r>
          </w:p>
        </w:tc>
        <w:tc>
          <w:tcPr/>
          <w:p>
            <w:pPr>
              <w:pStyle w:val="Compact"/>
            </w:pPr>
            <w:r>
              <w:t xml:space="preserve">Текущее поведение</w:t>
            </w:r>
          </w:p>
        </w:tc>
      </w:tr>
      <w:tr>
        <w:tc>
          <w:tcPr/>
          <w:p>
            <w:pPr>
              <w:pStyle w:val="Compact"/>
            </w:pPr>
            <w:r>
              <w:rPr>
                <w:rStyle w:val="VerbatimChar"/>
              </w:rPr>
              <w:t xml:space="preserve">+Z0&lt;данные&gt;</w:t>
            </w:r>
          </w:p>
        </w:tc>
        <w:tc>
          <w:tcPr/>
          <w:p>
            <w:pPr>
              <w:pStyle w:val="Compact"/>
            </w:pPr>
            <w:r>
              <w:t xml:space="preserve">Перекодирование Windows -&gt; DOS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+Z1&lt;данные&gt;</w:t>
            </w:r>
          </w:p>
        </w:tc>
        <w:tc>
          <w:tcPr/>
          <w:p>
            <w:pPr>
              <w:pStyle w:val="Compact"/>
            </w:pPr>
            <w:r>
              <w:t xml:space="preserve">Перекодирование DOS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+3U&lt;данные&gt;</w:t>
            </w:r>
          </w:p>
        </w:tc>
        <w:tc>
          <w:tcPr/>
          <w:p>
            <w:pPr>
              <w:pStyle w:val="Compact"/>
            </w:pPr>
            <w:r>
              <w:t xml:space="preserve">Перекодирование Windows -&gt; UTF-8</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r>
        <w:tc>
          <w:tcPr/>
          <w:p>
            <w:pPr>
              <w:pStyle w:val="Compact"/>
            </w:pPr>
            <w:r>
              <w:rPr>
                <w:rStyle w:val="VerbatimChar"/>
              </w:rPr>
              <w:t xml:space="preserve">+3W&lt;данные&gt;</w:t>
            </w:r>
          </w:p>
        </w:tc>
        <w:tc>
          <w:tcPr/>
          <w:p>
            <w:pPr>
              <w:pStyle w:val="Compact"/>
            </w:pPr>
            <w:r>
              <w:t xml:space="preserve">Перекодирование UTF-8 -&gt; Windows</w:t>
            </w:r>
          </w:p>
        </w:tc>
        <w:tc>
          <w:tcPr/>
          <w:p>
            <w:pPr>
              <w:pStyle w:val="Compact"/>
            </w:pPr>
            <w:r>
              <w:t xml:space="preserve">Возвращает</w:t>
            </w:r>
            <w:r>
              <w:t xml:space="preserve"> </w:t>
            </w:r>
            <w:r>
              <w:rPr>
                <w:rStyle w:val="VerbatimChar"/>
              </w:rPr>
              <w:t xml:space="preserve">&lt;данные&gt;</w:t>
            </w:r>
            <w:r>
              <w:t xml:space="preserve"> </w:t>
            </w:r>
            <w:r>
              <w:t xml:space="preserve">без изменений</w:t>
            </w:r>
          </w:p>
        </w:tc>
      </w:tr>
    </w:tbl>
    <w:bookmarkEnd w:id="43"/>
    <w:bookmarkStart w:id="47" w:name="X46a6a1b1046089b08230d6747d15d02693000f0"/>
    <w:p>
      <w:pPr>
        <w:pStyle w:val="Heading5"/>
      </w:pPr>
      <w:r>
        <w:t xml:space="preserve">&amp;uf(’0… - Выдать содержимое документа полностью (формат ALL)</w:t>
      </w:r>
    </w:p>
    <w:bookmarkStart w:id="44" w:name="назначение"/>
    <w:p>
      <w:pPr>
        <w:pStyle w:val="Heading6"/>
      </w:pPr>
      <w:r>
        <w:t xml:space="preserve">1. Назначение</w:t>
      </w:r>
    </w:p>
    <w:p>
      <w:pPr>
        <w:pStyle w:val="FirstParagraph"/>
      </w:pPr>
      <w:r>
        <w:t xml:space="preserve">Выдать содержимое документа полностью (формат ALL)</w:t>
      </w:r>
    </w:p>
    <w:bookmarkEnd w:id="44"/>
    <w:bookmarkStart w:id="45" w:name="формат-передаваемая-строка"/>
    <w:p>
      <w:pPr>
        <w:pStyle w:val="Heading6"/>
      </w:pPr>
      <w:r>
        <w:t xml:space="preserve">2. Формат (передаваемая строка)</w:t>
      </w:r>
    </w:p>
    <w:p>
      <w:pPr>
        <w:pStyle w:val="SourceCode"/>
      </w:pPr>
      <w:r>
        <w:rPr>
          <w:rStyle w:val="NormalTok"/>
        </w:rPr>
        <w:t xml:space="preserve">0</w:t>
      </w:r>
    </w:p>
    <w:bookmarkEnd w:id="45"/>
    <w:bookmarkStart w:id="46" w:name="пример"/>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VerbatimChar"/>
        </w:rPr>
        <w:t xml:space="preserve">\b #910/1:_\b0 ^YДА^PНЮАУ - каф. кримінального права\par \b #920/1:_\b0 ATHRA\par \b #210/1:_\b0 ^AТацій^BВ. Я.^GВасиль Якович^8ukr\par \b #710/1:_\b0 ^AТаций^BВ. Я.^GВасилий Яковлевич^8rus\par \b #907/1:_\b0 ^A20110301^B111\par \b #907/2:_\b0 ^A20110419^BZhukovskaya\par \b #710/2:_\b0 ^ATatsiy^BV.^8eng\par \b #907/3:_\b0 ^A20110421^BZhukovskaya\par \b #907/4:_\b0 ^A20111108^B111\par </w:t>
      </w:r>
    </w:p>
    <w:bookmarkEnd w:id="46"/>
    <w:bookmarkEnd w:id="47"/>
    <w:bookmarkStart w:id="52" w:name="uf1---вернуть-заданный-подэлемент"/>
    <w:p>
      <w:pPr>
        <w:pStyle w:val="Heading5"/>
      </w:pPr>
      <w:r>
        <w:t xml:space="preserve">&amp;uf(’1… - Вернуть заданный подэлемент</w:t>
      </w:r>
    </w:p>
    <w:bookmarkStart w:id="48" w:name="назначение-1"/>
    <w:p>
      <w:pPr>
        <w:pStyle w:val="Heading6"/>
      </w:pPr>
      <w:r>
        <w:t xml:space="preserve">1. Назначение</w:t>
      </w:r>
    </w:p>
    <w:p>
      <w:pPr>
        <w:pStyle w:val="FirstParagraph"/>
      </w:pPr>
      <w:r>
        <w:t xml:space="preserve">Вернуть заданный подэлемент</w:t>
      </w:r>
    </w:p>
    <w:bookmarkEnd w:id="48"/>
    <w:bookmarkStart w:id="50" w:name="формат-передаваемая-строка-1"/>
    <w:p>
      <w:pPr>
        <w:pStyle w:val="Heading6"/>
      </w:pPr>
      <w:r>
        <w:t xml:space="preserve">2. Формат (передаваемая строка)</w:t>
      </w:r>
    </w:p>
    <w:p>
      <w:pPr>
        <w:pStyle w:val="SourceCode"/>
      </w:pPr>
      <w:r>
        <w:rPr>
          <w:rStyle w:val="NormalTok"/>
        </w:rPr>
        <w:t xml:space="preserve">1NCXY?V&lt;tag&gt;^&lt;delim&gt;*&lt;offset&gt;.&lt;length&gt;#&lt;occur&gt;</w:t>
      </w:r>
    </w:p>
    <w:p>
      <w:pPr>
        <w:pStyle w:val="FirstParagraph"/>
      </w:pPr>
      <w:r>
        <w:t xml:space="preserve">где:</w:t>
      </w:r>
      <w:r>
        <w:t xml:space="preserve"> </w:t>
      </w:r>
      <w:r>
        <w:t xml:space="preserve">* N - номер повторения подэлемента; если указана * - номер подэлемента совпадает со счетчиком повторяющейся группы;</w:t>
      </w:r>
      <w:r>
        <w:t xml:space="preserve"> </w:t>
      </w:r>
      <w:r>
        <w:t xml:space="preserve">* ХY - разделители между подэлементами;</w:t>
      </w:r>
      <w:r>
        <w:t xml:space="preserve"> </w:t>
      </w:r>
      <w:r>
        <w:t xml:space="preserve">* С - принимает значения: R - разделители справа от каждого подэлемента, кроме последнего; L - разделители слева от каждого подэлемента; D - каждый подэлемент заключен слева разделителем Х и справа - Y;</w:t>
      </w:r>
      <w:r>
        <w:t xml:space="preserve"> </w:t>
      </w:r>
      <w:r>
        <w:t xml:space="preserve">* ? - символ-разделитель.</w:t>
      </w:r>
    </w:p>
    <w:p>
      <w:pPr>
        <w:pStyle w:val="BodyText"/>
      </w:pPr>
      <w:r>
        <w:t xml:space="preserve">Остальные параметры аналогичны параметрам для функции</w:t>
      </w:r>
      <w:r>
        <w:t xml:space="preserve"> </w:t>
      </w:r>
      <w:hyperlink r:id="rId49">
        <w:r>
          <w:rPr>
            <w:rStyle w:val="Hyperlink"/>
          </w:rPr>
          <w:t xml:space="preserve">А</w:t>
        </w:r>
      </w:hyperlink>
    </w:p>
    <w:bookmarkEnd w:id="50"/>
    <w:bookmarkStart w:id="51" w:name="пример-1"/>
    <w:p>
      <w:pPr>
        <w:pStyle w:val="Heading6"/>
      </w:pPr>
      <w:r>
        <w:t xml:space="preserve">3. Пример</w:t>
      </w:r>
    </w:p>
    <w:p>
      <w:pPr>
        <w:pStyle w:val="SourceCode"/>
      </w:pPr>
      <w:r>
        <w:rPr>
          <w:rStyle w:val="VerbatimChar"/>
        </w:rPr>
        <w:t xml:space="preserve">(/&amp;unifor('1*R; ?v910^h#1'))</w:t>
      </w:r>
    </w:p>
    <w:bookmarkEnd w:id="51"/>
    <w:bookmarkEnd w:id="52"/>
    <w:bookmarkStart w:id="56" w:name="Xdeb9d296350f44d7078ebe77ad61d70f0a3098c"/>
    <w:p>
      <w:pPr>
        <w:pStyle w:val="Heading5"/>
      </w:pPr>
      <w:r>
        <w:t xml:space="preserve">&amp;uf(’2… - Вернуть последний номер MFN в базе +1</w:t>
      </w:r>
    </w:p>
    <w:bookmarkStart w:id="53" w:name="назначение-2"/>
    <w:p>
      <w:pPr>
        <w:pStyle w:val="Heading6"/>
      </w:pPr>
      <w:r>
        <w:t xml:space="preserve">1. Назначение</w:t>
      </w:r>
    </w:p>
    <w:p>
      <w:pPr>
        <w:pStyle w:val="FirstParagraph"/>
      </w:pPr>
      <w:r>
        <w:t xml:space="preserve">Возвращает последний номер MFN в текущей базе данных, увеличенный на единицу (MAX_MFN) + 1). В общем случае параметр имеет вид 2N, где N - выводимое количество символов, обрезанное до необходимой длинны справа.</w:t>
      </w:r>
    </w:p>
    <w:bookmarkEnd w:id="53"/>
    <w:bookmarkStart w:id="54" w:name="формат-передаваемая-строка-2"/>
    <w:p>
      <w:pPr>
        <w:pStyle w:val="Heading6"/>
      </w:pPr>
      <w:r>
        <w:t xml:space="preserve">2. Формат (передаваемая строка)</w:t>
      </w:r>
    </w:p>
    <w:p>
      <w:pPr>
        <w:pStyle w:val="SourceCode"/>
      </w:pPr>
      <w:r>
        <w:rPr>
          <w:rStyle w:val="NormalTok"/>
        </w:rPr>
        <w:t xml:space="preserve">2N</w:t>
      </w:r>
    </w:p>
    <w:p>
      <w:pPr>
        <w:pStyle w:val="FirstParagraph"/>
      </w:pPr>
      <w:r>
        <w:t xml:space="preserve">где:</w:t>
      </w:r>
      <w:r>
        <w:t xml:space="preserve"> </w:t>
      </w:r>
      <w:r>
        <w:t xml:space="preserve">* N - выводимое количество символов, обрезанное до необходимой длинны справа.</w:t>
      </w:r>
    </w:p>
    <w:bookmarkEnd w:id="54"/>
    <w:bookmarkStart w:id="55" w:name="пример-2"/>
    <w:p>
      <w:pPr>
        <w:pStyle w:val="Heading6"/>
      </w:pPr>
      <w:r>
        <w:t xml:space="preserve">3. Пример</w:t>
      </w:r>
    </w:p>
    <w:p>
      <w:pPr>
        <w:pStyle w:val="SourceCode"/>
      </w:pPr>
      <w:r>
        <w:rPr>
          <w:rStyle w:val="VerbatimChar"/>
        </w:rPr>
        <w:t xml:space="preserve">&amp;unifor('2'),  &amp;unifor('27')</w:t>
      </w:r>
    </w:p>
    <w:bookmarkEnd w:id="55"/>
    <w:bookmarkEnd w:id="56"/>
    <w:bookmarkStart w:id="60" w:name="X4fcfc5e4844b19a73040fcebe28ae38dad728ac"/>
    <w:p>
      <w:pPr>
        <w:pStyle w:val="Heading5"/>
      </w:pPr>
      <w:r>
        <w:t xml:space="preserve">&amp;uf(’3… - Выдача данных, связанных с ДАТОЙ и ВРЕМЕНЕМ</w:t>
      </w:r>
    </w:p>
    <w:bookmarkStart w:id="57" w:name="назначение-3"/>
    <w:p>
      <w:pPr>
        <w:pStyle w:val="Heading6"/>
      </w:pPr>
      <w:r>
        <w:t xml:space="preserve">1. Назначение</w:t>
      </w:r>
    </w:p>
    <w:p>
      <w:pPr>
        <w:pStyle w:val="FirstParagraph"/>
      </w:pPr>
      <w:r>
        <w:t xml:space="preserve">Выдача данных, связанных с ДАТОЙ и ВРЕМЕНЕМ</w:t>
      </w:r>
      <w:r>
        <w:t xml:space="preserve"> </w:t>
      </w:r>
      <w:r>
        <w:t xml:space="preserve">Имеются следующие подфункции:</w:t>
      </w:r>
      <w:r>
        <w:t xml:space="preserve"> </w:t>
      </w:r>
      <w:r>
        <w:t xml:space="preserve">* 3 - выдать текущую дату в виде ГГГГММДД</w:t>
      </w:r>
      <w:r>
        <w:t xml:space="preserve"> </w:t>
      </w:r>
      <w:r>
        <w:t xml:space="preserve">* 30 - выдать текущий год в виде ГГГГ</w:t>
      </w:r>
      <w:r>
        <w:t xml:space="preserve"> </w:t>
      </w:r>
      <w:r>
        <w:t xml:space="preserve">* 31 - выдать текущий месяц в виде ММ (с лидирующим нулем)</w:t>
      </w:r>
      <w:r>
        <w:t xml:space="preserve"> </w:t>
      </w:r>
      <w:r>
        <w:t xml:space="preserve">* 32 - выдать текущий день в виде ДД (с лидирующим нулем)</w:t>
      </w:r>
      <w:r>
        <w:t xml:space="preserve"> </w:t>
      </w:r>
      <w:r>
        <w:t xml:space="preserve">* 33 - выдать текущий год в виде ГГ</w:t>
      </w:r>
      <w:r>
        <w:t xml:space="preserve"> </w:t>
      </w:r>
      <w:r>
        <w:t xml:space="preserve">* 34 - выдать текущий месяц в виде М (без лидирующего нуля)</w:t>
      </w:r>
      <w:r>
        <w:t xml:space="preserve"> </w:t>
      </w:r>
      <w:r>
        <w:t xml:space="preserve">* 35 - выдать текущий день в виде Д (без лидирующего нуля)</w:t>
      </w:r>
      <w:r>
        <w:t xml:space="preserve"> </w:t>
      </w:r>
      <w:r>
        <w:t xml:space="preserve">* 36MM - выдать по заданному номеру месяца его название на русском языке в именительном падеже</w:t>
      </w:r>
      <w:r>
        <w:t xml:space="preserve"> </w:t>
      </w:r>
      <w:r>
        <w:t xml:space="preserve">* 37MM - выдать по заданному номеру месяца его название на русском языке в родительном падеже</w:t>
      </w:r>
      <w:r>
        <w:t xml:space="preserve"> </w:t>
      </w:r>
      <w:r>
        <w:t xml:space="preserve">* 38MM - выдать по заданному номеру месяца его название на английском языке</w:t>
      </w:r>
      <w:r>
        <w:t xml:space="preserve"> </w:t>
      </w:r>
      <w:r>
        <w:t xml:space="preserve">* 39 - выдать текущее время</w:t>
      </w:r>
      <w:r>
        <w:t xml:space="preserve"> </w:t>
      </w:r>
      <w:r>
        <w:t xml:space="preserve">* 3А - выдать номер текущего дня от начала года</w:t>
      </w:r>
      <w:r>
        <w:t xml:space="preserve"> </w:t>
      </w:r>
      <w:r>
        <w:t xml:space="preserve">* 3BГГГГММДД/ддд - прибавить/вычесть из заданной даты в виде ГГГГММДД заданное количество дней (ддд – м.б. с минусом) и вернуть полученную дату в виде ГГГГММДД;</w:t>
      </w:r>
      <w:r>
        <w:t xml:space="preserve"> </w:t>
      </w:r>
      <w:r>
        <w:t xml:space="preserve">* 3СГГГГММДД/ГГГГММДД - вычесть из одной даты в виде ГГГГММДД другую дату в виде ГГГГММДД и вернуть разницу в виде количества дней;</w:t>
      </w:r>
      <w:r>
        <w:t xml:space="preserve"> </w:t>
      </w:r>
      <w:r>
        <w:t xml:space="preserve">* 3JГГГГММДД – переводит заданную юлианскую дату ГГГГММДД в грегорианскую.</w:t>
      </w:r>
    </w:p>
    <w:bookmarkEnd w:id="57"/>
    <w:bookmarkStart w:id="58" w:name="формат-передаваемая-строка-3"/>
    <w:p>
      <w:pPr>
        <w:pStyle w:val="Heading6"/>
      </w:pPr>
      <w:r>
        <w:t xml:space="preserve">2. Формат (передаваемая строка)</w:t>
      </w:r>
    </w:p>
    <w:p>
      <w:pPr>
        <w:pStyle w:val="SourceCode"/>
      </w:pPr>
      <w:r>
        <w:rPr>
          <w:rStyle w:val="NormalTok"/>
        </w:rPr>
        <w:t xml:space="preserve">3...</w:t>
      </w:r>
    </w:p>
    <w:bookmarkEnd w:id="58"/>
    <w:bookmarkStart w:id="59" w:name="пример-3"/>
    <w:p>
      <w:pPr>
        <w:pStyle w:val="Heading6"/>
      </w:pPr>
      <w:r>
        <w:t xml:space="preserve">3. Пример</w:t>
      </w:r>
    </w:p>
    <w:p>
      <w:pPr>
        <w:pStyle w:val="SourceCode"/>
      </w:pPr>
      <w:r>
        <w:rPr>
          <w:rStyle w:val="VerbatimChar"/>
        </w:rPr>
        <w:t xml:space="preserve">&amp;unifor('36',&amp;unifor('34'))</w:t>
      </w:r>
    </w:p>
    <w:p>
      <w:pPr>
        <w:pStyle w:val="FirstParagraph"/>
      </w:pPr>
      <w:r>
        <w:t xml:space="preserve">Вычесть из текущей даты сто дней:</w:t>
      </w:r>
    </w:p>
    <w:p>
      <w:pPr>
        <w:pStyle w:val="SourceCode"/>
      </w:pPr>
      <w:r>
        <w:rPr>
          <w:rStyle w:val="VerbatimChar"/>
        </w:rPr>
        <w:t xml:space="preserve">&amp;uf('3B',&amp;uf('3'),'/-100')</w:t>
      </w:r>
    </w:p>
    <w:p>
      <w:pPr>
        <w:pStyle w:val="FirstParagraph"/>
      </w:pPr>
      <w:r>
        <w:t xml:space="preserve">Количество дней с 1 января 1900 года до сегодняшнего дня:</w:t>
      </w:r>
    </w:p>
    <w:p>
      <w:pPr>
        <w:pStyle w:val="SourceCode"/>
      </w:pPr>
      <w:r>
        <w:rPr>
          <w:rStyle w:val="VerbatimChar"/>
        </w:rPr>
        <w:t xml:space="preserve">&amp;uf('3C',&amp;uf('3'),'/19000101')</w:t>
      </w:r>
    </w:p>
    <w:bookmarkEnd w:id="59"/>
    <w:bookmarkEnd w:id="60"/>
    <w:bookmarkStart w:id="64" w:name="Xfac9453dcd1817c7aa1e75b153456e692dba1bb"/>
    <w:p>
      <w:pPr>
        <w:pStyle w:val="Heading5"/>
      </w:pPr>
      <w:r>
        <w:t xml:space="preserve">&amp;uf(’4… - Форматировать предыдущую копию текущей записи</w:t>
      </w:r>
    </w:p>
    <w:bookmarkStart w:id="61" w:name="назначение-4"/>
    <w:p>
      <w:pPr>
        <w:pStyle w:val="Heading6"/>
      </w:pPr>
      <w:r>
        <w:t xml:space="preserve">1. Назначение</w:t>
      </w:r>
    </w:p>
    <w:p>
      <w:pPr>
        <w:pStyle w:val="FirstParagraph"/>
      </w:pPr>
      <w:r>
        <w:t xml:space="preserve">Форматировать предыдущую копию текущей записи</w:t>
      </w:r>
    </w:p>
    <w:bookmarkEnd w:id="61"/>
    <w:bookmarkStart w:id="62" w:name="формат-передаваемая-строка-4"/>
    <w:p>
      <w:pPr>
        <w:pStyle w:val="Heading6"/>
      </w:pPr>
      <w:r>
        <w:t xml:space="preserve">2. Формат (передаваемая строка)</w:t>
      </w:r>
    </w:p>
    <w:p>
      <w:pPr>
        <w:pStyle w:val="SourceCode"/>
      </w:pPr>
      <w:r>
        <w:rPr>
          <w:rStyle w:val="NormalTok"/>
        </w:rPr>
        <w:t xml:space="preserve">4N,Format</w:t>
      </w:r>
    </w:p>
    <w:p>
      <w:pPr>
        <w:pStyle w:val="FirstParagraph"/>
      </w:pPr>
      <w:r>
        <w:t xml:space="preserve">где:</w:t>
      </w:r>
      <w:r>
        <w:t xml:space="preserve"> </w:t>
      </w:r>
      <w:r>
        <w:t xml:space="preserve">* N - номер копии (в обратном порядке, т.е. если N=1 – это один шаг назад, N=2 – два шага назад и т.д.). Может принимать значение * – это указывает на последнюю копию. Если N – пустое значение, то в случае повторяющейся группы в качестве значения N берется НОМЕР ТЕКУЩЕГО ПОВТОРЕНИЯ, в противном случае берется первая копия;</w:t>
      </w:r>
      <w:r>
        <w:t xml:space="preserve"> </w:t>
      </w:r>
      <w:r>
        <w:t xml:space="preserve">* Format – формат; может задаваться непосредственно или в виде</w:t>
      </w:r>
      <w:r>
        <w:t xml:space="preserve"> </w:t>
      </w:r>
      <w:r>
        <w:t xml:space="preserve">@имя_формата</w:t>
      </w:r>
      <w:r>
        <w:t xml:space="preserve">.</w:t>
      </w:r>
    </w:p>
    <w:bookmarkEnd w:id="62"/>
    <w:bookmarkStart w:id="63" w:name="пример-4"/>
    <w:p>
      <w:pPr>
        <w:pStyle w:val="Heading6"/>
      </w:pPr>
      <w:r>
        <w:t xml:space="preserve">3. Пример</w:t>
      </w:r>
    </w:p>
    <w:p>
      <w:pPr>
        <w:pStyle w:val="SourceCode"/>
      </w:pPr>
      <w:r>
        <w:rPr>
          <w:rStyle w:val="VerbatimChar"/>
        </w:rPr>
        <w:t xml:space="preserve">&amp;unifor('41,@brief') </w:t>
      </w:r>
      <w:r>
        <w:br/>
      </w:r>
      <w:r>
        <w:rPr>
          <w:rStyle w:val="VerbatimChar"/>
        </w:rPr>
        <w:t xml:space="preserve">(&amp;unifor('4,v200^a')) </w:t>
      </w:r>
      <w:r>
        <w:br/>
      </w:r>
      <w:r>
        <w:rPr>
          <w:rStyle w:val="VerbatimChar"/>
        </w:rPr>
        <w:t xml:space="preserve">&amp;unifor('4*,(v910/)')</w:t>
      </w:r>
    </w:p>
    <w:bookmarkEnd w:id="63"/>
    <w:bookmarkEnd w:id="64"/>
    <w:bookmarkStart w:id="68" w:name="uf6---подключение-вложенного-формата"/>
    <w:p>
      <w:pPr>
        <w:pStyle w:val="Heading5"/>
      </w:pPr>
      <w:r>
        <w:t xml:space="preserve">&amp;uf(’6… - Подключение вложенного формата</w:t>
      </w:r>
    </w:p>
    <w:bookmarkStart w:id="65" w:name="назначение-5"/>
    <w:p>
      <w:pPr>
        <w:pStyle w:val="Heading6"/>
      </w:pPr>
      <w:r>
        <w:t xml:space="preserve">1. Назначение</w:t>
      </w:r>
    </w:p>
    <w:p>
      <w:pPr>
        <w:pStyle w:val="FirstParagraph"/>
      </w:pPr>
      <w:r>
        <w:t xml:space="preserve">Подключение вложенного формата.</w:t>
      </w:r>
    </w:p>
    <w:bookmarkEnd w:id="65"/>
    <w:bookmarkStart w:id="66" w:name="формат-передаваемая-строка-5"/>
    <w:p>
      <w:pPr>
        <w:pStyle w:val="Heading6"/>
      </w:pPr>
      <w:r>
        <w:t xml:space="preserve">2. Формат (передаваемая строка)</w:t>
      </w:r>
    </w:p>
    <w:p>
      <w:pPr>
        <w:pStyle w:val="FirstParagraph"/>
      </w:pPr>
      <w:r>
        <w:t xml:space="preserve">Краткая конструкция имеет вид:</w:t>
      </w:r>
    </w:p>
    <w:p>
      <w:pPr>
        <w:pStyle w:val="SourceCode"/>
      </w:pPr>
      <w:r>
        <w:rPr>
          <w:rStyle w:val="VerbatimChar"/>
        </w:rPr>
        <w:t xml:space="preserve">&amp;uf('6&lt;имя_формата&gt;')</w:t>
      </w:r>
    </w:p>
    <w:p>
      <w:pPr>
        <w:pStyle w:val="FirstParagraph"/>
      </w:pPr>
      <w:r>
        <w:t xml:space="preserve">Расширенная конструкция имеет вид:</w:t>
      </w:r>
    </w:p>
    <w:p>
      <w:pPr>
        <w:pStyle w:val="SourceCode"/>
      </w:pPr>
      <w:r>
        <w:rPr>
          <w:rStyle w:val="VerbatimChar"/>
        </w:rPr>
        <w:t xml:space="preserve">&amp;uf('6&lt;имя_шаблон-формата&gt;#&lt;параметр1&gt;,&lt;параметр2&gt;,...&lt;параметрN&gt;')</w:t>
      </w:r>
    </w:p>
    <w:p>
      <w:pPr>
        <w:pStyle w:val="FirstParagraph"/>
      </w:pPr>
      <w:r>
        <w:t xml:space="preserve">где:</w:t>
      </w:r>
      <w:r>
        <w:t xml:space="preserve"> </w:t>
      </w:r>
      <w:r>
        <w:t xml:space="preserve">*</w:t>
      </w:r>
      <w:r>
        <w:t xml:space="preserve"> </w:t>
      </w:r>
      <w:r>
        <w:t xml:space="preserve">,</w:t>
      </w:r>
      <w:r>
        <w:t xml:space="preserve">,…</w:t>
      </w:r>
      <w:r>
        <w:t xml:space="preserve"> </w:t>
      </w:r>
      <w:r>
        <w:t xml:space="preserve">- список значений переменных параметров</w:t>
      </w:r>
      <w:r>
        <w:t xml:space="preserve"> </w:t>
      </w:r>
      <w:r>
        <w:t xml:space="preserve">* Шаблон-формат - формат, содержащий переменные параметры в виде %N - где</w:t>
      </w:r>
      <w:r>
        <w:t xml:space="preserve"> </w:t>
      </w:r>
      <w:r>
        <w:t xml:space="preserve">* N - номер параметра в списке значений.</w:t>
      </w:r>
    </w:p>
    <w:p>
      <w:pPr>
        <w:pStyle w:val="BodyText"/>
      </w:pPr>
      <w:r>
        <w:t xml:space="preserve">В качестве переменных параметров шаблон-формата могут выступать ЛЮБЫЕ конструкции языка форматирования (метки полей/подполей, литералы и т.д.).</w:t>
      </w:r>
    </w:p>
    <w:p>
      <w:pPr>
        <w:pStyle w:val="BodyText"/>
      </w:pPr>
      <w:r>
        <w:t xml:space="preserve">Расширенная конструкция &amp;uf(’6… позволяет сократить тексты форматов - например, в тех случаях, когда для вывода разных элементов данных используются идентичные форматные конструкции.</w:t>
      </w:r>
    </w:p>
    <w:bookmarkEnd w:id="66"/>
    <w:bookmarkStart w:id="67" w:name="пример-5"/>
    <w:p>
      <w:pPr>
        <w:pStyle w:val="Heading6"/>
      </w:pPr>
      <w:r>
        <w:t xml:space="preserve">3. Пример</w:t>
      </w:r>
    </w:p>
    <w:p>
      <w:pPr>
        <w:pStyle w:val="FirstParagraph"/>
      </w:pPr>
      <w:r>
        <w:t xml:space="preserve">Для вывода сведения об индивидуальной ответственности (авторов) из различных полей (700, 701, 702, 330 и т.д.) используются идентичные конструкции, отличающиеся только значением метки поля.</w:t>
      </w:r>
    </w:p>
    <w:p>
      <w:pPr>
        <w:pStyle w:val="BodyText"/>
      </w:pPr>
      <w:r>
        <w:t xml:space="preserve">Поступаем следующим образом.</w:t>
      </w:r>
    </w:p>
    <w:p>
      <w:pPr>
        <w:pStyle w:val="BodyText"/>
      </w:pPr>
      <w:r>
        <w:t xml:space="preserve">Создаем шаблон-формат AUTHOR, в котором в качестве метки используем переменный параметр %1</w:t>
      </w:r>
    </w:p>
    <w:p>
      <w:pPr>
        <w:pStyle w:val="SourceCode"/>
      </w:pPr>
      <w:r>
        <w:rPr>
          <w:rStyle w:val="VerbatimChar"/>
        </w:rPr>
        <w:t xml:space="preserve">(</w:t>
      </w:r>
      <w:r>
        <w:br/>
      </w:r>
      <w:r>
        <w:rPr>
          <w:rStyle w:val="VerbatimChar"/>
        </w:rPr>
        <w:t xml:space="preserve">    if p(v%1) then </w:t>
      </w:r>
      <w:r>
        <w:br/>
      </w:r>
      <w:r>
        <w:rPr>
          <w:rStyle w:val="VerbatimChar"/>
        </w:rPr>
        <w:t xml:space="preserve">        |A=|v%1^a,| |v%1^d,|, |v%1^g,</w:t>
      </w:r>
      <w:r>
        <w:br/>
      </w:r>
      <w:r>
        <w:rPr>
          <w:rStyle w:val="VerbatimChar"/>
        </w:rPr>
        <w:t xml:space="preserve">        if a(v%1^g) then </w:t>
      </w:r>
      <w:r>
        <w:br/>
      </w:r>
      <w:r>
        <w:rPr>
          <w:rStyle w:val="VerbatimChar"/>
        </w:rPr>
        <w:t xml:space="preserve">            |, |d%1^b,</w:t>
      </w:r>
      <w:r>
        <w:br/>
      </w:r>
      <w:r>
        <w:rPr>
          <w:rStyle w:val="VerbatimChar"/>
        </w:rPr>
        <w:t xml:space="preserve">            if v%1^b:'. 'or (not(v%1^b:'.')) then </w:t>
      </w:r>
      <w:r>
        <w:br/>
      </w:r>
      <w:r>
        <w:rPr>
          <w:rStyle w:val="VerbatimChar"/>
        </w:rPr>
        <w:t xml:space="preserve">                v%1^b </w:t>
      </w:r>
      <w:r>
        <w:br/>
      </w:r>
      <w:r>
        <w:rPr>
          <w:rStyle w:val="VerbatimChar"/>
        </w:rPr>
        <w:t xml:space="preserve">            else </w:t>
      </w:r>
      <w:r>
        <w:br/>
      </w:r>
      <w:r>
        <w:rPr>
          <w:rStyle w:val="VerbatimChar"/>
        </w:rPr>
        <w:t xml:space="preserve">                &amp;unifor('G0.'v%1^b),'. '&amp;unifor('G2.'v%1^b) </w:t>
      </w:r>
      <w:r>
        <w:br/>
      </w:r>
      <w:r>
        <w:rPr>
          <w:rStyle w:val="VerbatimChar"/>
        </w:rPr>
        <w:t xml:space="preserve">            fi </w:t>
      </w:r>
      <w:r>
        <w:br/>
      </w:r>
      <w:r>
        <w:rPr>
          <w:rStyle w:val="VerbatimChar"/>
        </w:rPr>
        <w:t xml:space="preserve">        fi,</w:t>
      </w:r>
      <w:r>
        <w:br/>
      </w:r>
      <w:r>
        <w:rPr>
          <w:rStyle w:val="VerbatimChar"/>
        </w:rPr>
        <w:t xml:space="preserve">        if &amp;uf('Ag700#1')='1' then else </w:t>
      </w:r>
      <w:r>
        <w:br/>
      </w:r>
      <w:r>
        <w:rPr>
          <w:rStyle w:val="VerbatimChar"/>
        </w:rPr>
        <w:t xml:space="preserve">            if s(v%1^1,v%1^c,v%1^f)&lt;&gt;''then</w:t>
      </w:r>
      <w:r>
        <w:br/>
      </w:r>
      <w:r>
        <w:rPr>
          <w:rStyle w:val="VerbatimChar"/>
        </w:rPr>
        <w:t xml:space="preserve">                ' (',v%1^1,</w:t>
      </w:r>
      <w:r>
        <w:br/>
      </w:r>
      <w:r>
        <w:rPr>
          <w:rStyle w:val="VerbatimChar"/>
        </w:rPr>
        <w:t xml:space="preserve">                if s(v%1^1)&lt;&gt;''then | ; |d%1^c fi,</w:t>
      </w:r>
      <w:r>
        <w:br/>
      </w:r>
      <w:r>
        <w:rPr>
          <w:rStyle w:val="VerbatimChar"/>
        </w:rPr>
        <w:t xml:space="preserve">                v%1^c,</w:t>
      </w:r>
      <w:r>
        <w:br/>
      </w:r>
      <w:r>
        <w:rPr>
          <w:rStyle w:val="VerbatimChar"/>
        </w:rPr>
        <w:t xml:space="preserve">                if s(v%1^1,v%1^c)&lt;&gt;''then| ; |d%1^f fi,</w:t>
      </w:r>
      <w:r>
        <w:br/>
      </w:r>
      <w:r>
        <w:rPr>
          <w:rStyle w:val="VerbatimChar"/>
        </w:rPr>
        <w:t xml:space="preserve">                v%1^f,')' </w:t>
      </w:r>
      <w:r>
        <w:br/>
      </w:r>
      <w:r>
        <w:rPr>
          <w:rStyle w:val="VerbatimChar"/>
        </w:rPr>
        <w:t xml:space="preserve">            fi,</w:t>
      </w:r>
      <w:r>
        <w:br/>
      </w:r>
      <w:r>
        <w:rPr>
          <w:rStyle w:val="VerbatimChar"/>
        </w:rPr>
        <w:t xml:space="preserve">            |\|v%1^4*4,</w:t>
      </w:r>
      <w:r>
        <w:br/>
      </w:r>
      <w:r>
        <w:rPr>
          <w:rStyle w:val="VerbatimChar"/>
        </w:rPr>
        <w:t xml:space="preserve">            |, |v%1^5*4,</w:t>
      </w:r>
      <w:r>
        <w:br/>
      </w:r>
      <w:r>
        <w:rPr>
          <w:rStyle w:val="VerbatimChar"/>
        </w:rPr>
        <w:t xml:space="preserve">            |, |v%1^6*4,</w:t>
      </w:r>
      <w:r>
        <w:br/>
      </w:r>
      <w:r>
        <w:rPr>
          <w:rStyle w:val="VerbatimChar"/>
        </w:rPr>
        <w:t xml:space="preserve">            |(|v%1^7|)|,</w:t>
      </w:r>
      <w:r>
        <w:br/>
      </w:r>
      <w:r>
        <w:rPr>
          <w:rStyle w:val="VerbatimChar"/>
        </w:rPr>
        <w:t xml:space="preserve">            |\|d%1^4 </w:t>
      </w:r>
      <w:r>
        <w:br/>
      </w:r>
      <w:r>
        <w:rPr>
          <w:rStyle w:val="VerbatimChar"/>
        </w:rPr>
        <w:t xml:space="preserve">        fi </w:t>
      </w:r>
      <w:r>
        <w:br/>
      </w:r>
      <w:r>
        <w:rPr>
          <w:rStyle w:val="VerbatimChar"/>
        </w:rPr>
        <w:t xml:space="preserve">    fi,</w:t>
      </w:r>
      <w:r>
        <w:br/>
      </w:r>
      <w:r>
        <w:rPr>
          <w:rStyle w:val="VerbatimChar"/>
        </w:rPr>
        <w:t xml:space="preserve">    |%|d%1/</w:t>
      </w:r>
      <w:r>
        <w:br/>
      </w:r>
      <w:r>
        <w:rPr>
          <w:rStyle w:val="VerbatimChar"/>
        </w:rPr>
        <w:t xml:space="preserve">)</w:t>
      </w:r>
    </w:p>
    <w:p>
      <w:pPr>
        <w:pStyle w:val="FirstParagraph"/>
      </w:pPr>
      <w:r>
        <w:t xml:space="preserve">Теперь для вывода сведений из конкретного поля используем конструкции</w:t>
      </w:r>
    </w:p>
    <w:p>
      <w:pPr>
        <w:pStyle w:val="SourceCode"/>
      </w:pPr>
      <w:r>
        <w:rPr>
          <w:rStyle w:val="VerbatimChar"/>
        </w:rPr>
        <w:t xml:space="preserve">&amp;uf('6author#700')</w:t>
      </w:r>
    </w:p>
    <w:p>
      <w:pPr>
        <w:pStyle w:val="FirstParagraph"/>
      </w:pPr>
      <w:r>
        <w:t xml:space="preserve">или</w:t>
      </w:r>
    </w:p>
    <w:p>
      <w:pPr>
        <w:pStyle w:val="SourceCode"/>
      </w:pPr>
      <w:r>
        <w:rPr>
          <w:rStyle w:val="VerbatimChar"/>
        </w:rPr>
        <w:t xml:space="preserve">&amp;uf('6author#701')</w:t>
      </w:r>
    </w:p>
    <w:p>
      <w:pPr>
        <w:pStyle w:val="FirstParagraph"/>
      </w:pPr>
      <w:r>
        <w:t xml:space="preserve">и т.д.</w:t>
      </w:r>
    </w:p>
    <w:bookmarkEnd w:id="67"/>
    <w:bookmarkEnd w:id="68"/>
    <w:bookmarkStart w:id="72" w:name="X5082d71a0f1196a2a3a4767e91aafc51be272a9"/>
    <w:p>
      <w:pPr>
        <w:pStyle w:val="Heading5"/>
      </w:pPr>
      <w:r>
        <w:t xml:space="preserve">&amp;uf(’7… - Расформатирование группы связанных документов из другой БД</w:t>
      </w:r>
    </w:p>
    <w:bookmarkStart w:id="69" w:name="назначение-6"/>
    <w:p>
      <w:pPr>
        <w:pStyle w:val="Heading6"/>
      </w:pPr>
      <w:r>
        <w:t xml:space="preserve">1. Назначение</w:t>
      </w:r>
    </w:p>
    <w:p>
      <w:pPr>
        <w:pStyle w:val="FirstParagraph"/>
      </w:pPr>
      <w:r>
        <w:t xml:space="preserve">Расформатирование группы связанных документов из другой БД (отношение «от одного к многим»).</w:t>
      </w:r>
    </w:p>
    <w:bookmarkEnd w:id="69"/>
    <w:bookmarkStart w:id="70" w:name="формат-передаваемая-строка-6"/>
    <w:p>
      <w:pPr>
        <w:pStyle w:val="Heading6"/>
      </w:pPr>
      <w:r>
        <w:t xml:space="preserve">2. Формат (передаваемая строка)</w:t>
      </w:r>
    </w:p>
    <w:p>
      <w:pPr>
        <w:pStyle w:val="SourceCode"/>
      </w:pPr>
      <w:r>
        <w:rPr>
          <w:rStyle w:val="NormalTok"/>
        </w:rPr>
        <w:t xml:space="preserve">7&lt;имя_БД&gt;,&lt;/termin/&gt;,&lt;@имя_формата|формат|*&gt;</w:t>
      </w:r>
    </w:p>
    <w:p>
      <w:pPr>
        <w:pStyle w:val="FirstParagraph"/>
      </w:pPr>
      <w:r>
        <w:t xml:space="preserve">где:</w:t>
      </w:r>
      <w:r>
        <w:t xml:space="preserve"> </w:t>
      </w:r>
      <w:r>
        <w:t xml:space="preserve">* &lt;имя_БД&gt; - имя базы данных, из которой будут браться связанные документы; по умолчанию используется текущая БД.</w:t>
      </w:r>
      <w:r>
        <w:t xml:space="preserve"> </w:t>
      </w:r>
      <w:r>
        <w:t xml:space="preserve">* &lt;/termin/&gt; - ключевой термин, на основе которого отбираются связанные документы; термин заключается в уникальные ограничители (например. /), в качестве которых используется символ, не входящий (гарантированно) в термин.</w:t>
      </w:r>
      <w:r>
        <w:t xml:space="preserve"> </w:t>
      </w:r>
      <w:r>
        <w:t xml:space="preserve">* &lt;</w:t>
      </w:r>
      <w:r>
        <w:t xml:space="preserve">@имя_формата</w:t>
      </w:r>
      <w:r>
        <w:t xml:space="preserve">|формат|*&gt; - имя формата или формат в явном виде, в соответствии с которым будут расформатироваться связанные документы. Если задается имя формата, то он берется из директории БД, заданной параметром &lt;имя_БД&gt;.</w:t>
      </w:r>
    </w:p>
    <w:p>
      <w:pPr>
        <w:pStyle w:val="BodyText"/>
      </w:pPr>
      <w:r>
        <w:t xml:space="preserve">Если задается *, данные выводятся по прямой ссылке (метка поля, номер повторения)</w:t>
      </w:r>
    </w:p>
    <w:bookmarkEnd w:id="70"/>
    <w:bookmarkStart w:id="71" w:name="пример-6"/>
    <w:p>
      <w:pPr>
        <w:pStyle w:val="Heading6"/>
      </w:pPr>
      <w:r>
        <w:t xml:space="preserve">3. Пример</w:t>
      </w:r>
    </w:p>
    <w:p>
      <w:pPr>
        <w:pStyle w:val="SourceCode"/>
      </w:pPr>
      <w:r>
        <w:rPr>
          <w:rStyle w:val="VerbatimChar"/>
        </w:rPr>
        <w:t xml:space="preserve">&amp;unifor('7TEST,',"/T="v200^a"/",',v903"\par "')</w:t>
      </w:r>
    </w:p>
    <w:bookmarkEnd w:id="71"/>
    <w:bookmarkEnd w:id="72"/>
    <w:bookmarkStart w:id="76" w:name="X0cbf0c15c48475b64cb881c2c0527c9e8e82640"/>
    <w:p>
      <w:pPr>
        <w:pStyle w:val="Heading5"/>
      </w:pPr>
      <w:r>
        <w:t xml:space="preserve">&amp;uf(’9… - Удалить двойные кавычки из заданной строки</w:t>
      </w:r>
    </w:p>
    <w:bookmarkStart w:id="73" w:name="назначение-7"/>
    <w:p>
      <w:pPr>
        <w:pStyle w:val="Heading6"/>
      </w:pPr>
      <w:r>
        <w:t xml:space="preserve">1. Назначение</w:t>
      </w:r>
    </w:p>
    <w:p>
      <w:pPr>
        <w:pStyle w:val="FirstParagraph"/>
      </w:pPr>
      <w:r>
        <w:t xml:space="preserve">Удалить двойные кавычки из заданной строки</w:t>
      </w:r>
    </w:p>
    <w:bookmarkEnd w:id="73"/>
    <w:bookmarkStart w:id="74" w:name="формат-передаваемая-строка-7"/>
    <w:p>
      <w:pPr>
        <w:pStyle w:val="Heading6"/>
      </w:pPr>
      <w:r>
        <w:t xml:space="preserve">2. Формат (передаваемая строка)</w:t>
      </w:r>
    </w:p>
    <w:p>
      <w:pPr>
        <w:pStyle w:val="SourceCode"/>
      </w:pPr>
      <w:r>
        <w:rPr>
          <w:rStyle w:val="NormalTok"/>
        </w:rPr>
        <w:t xml:space="preserve">9&lt;исх.строка&gt;</w:t>
      </w:r>
    </w:p>
    <w:bookmarkEnd w:id="74"/>
    <w:bookmarkStart w:id="75" w:name="пример-7"/>
    <w:p>
      <w:pPr>
        <w:pStyle w:val="Heading6"/>
      </w:pPr>
      <w:r>
        <w:t xml:space="preserve">3. Пример</w:t>
      </w:r>
    </w:p>
    <w:p>
      <w:pPr>
        <w:pStyle w:val="SourceCode"/>
      </w:pPr>
      <w:r>
        <w:rPr>
          <w:rStyle w:val="VerbatimChar"/>
        </w:rPr>
        <w:t xml:space="preserve">&amp;unifor("9"v200^a)</w:t>
      </w:r>
    </w:p>
    <w:bookmarkEnd w:id="75"/>
    <w:bookmarkEnd w:id="76"/>
    <w:bookmarkStart w:id="80" w:name="ufa---выдать-заданное-повторение-поля"/>
    <w:p>
      <w:pPr>
        <w:pStyle w:val="Heading5"/>
      </w:pPr>
      <w:r>
        <w:t xml:space="preserve">&amp;uf(’A… - Выдать заданное повторение поля</w:t>
      </w:r>
    </w:p>
    <w:bookmarkStart w:id="77" w:name="назначение-8"/>
    <w:p>
      <w:pPr>
        <w:pStyle w:val="Heading6"/>
      </w:pPr>
      <w:r>
        <w:t xml:space="preserve">1. Назначение</w:t>
      </w:r>
    </w:p>
    <w:p>
      <w:pPr>
        <w:pStyle w:val="FirstParagraph"/>
      </w:pPr>
      <w:r>
        <w:t xml:space="preserve">Выдать заданное повторение поля</w:t>
      </w:r>
    </w:p>
    <w:bookmarkEnd w:id="77"/>
    <w:bookmarkStart w:id="78" w:name="формат-передаваемая-строка-8"/>
    <w:p>
      <w:pPr>
        <w:pStyle w:val="Heading6"/>
      </w:pPr>
      <w:r>
        <w:t xml:space="preserve">2. Формат (передаваемая строка)</w:t>
      </w:r>
    </w:p>
    <w:p>
      <w:pPr>
        <w:pStyle w:val="SourceCode"/>
      </w:pPr>
      <w:r>
        <w:rPr>
          <w:rStyle w:val="NormalTok"/>
        </w:rPr>
        <w:t xml:space="preserve">AV&lt;tag&gt;^&lt;delim&gt;*&lt;offset&gt;.&lt;length&gt;#&lt;occur&gt;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78"/>
    <w:bookmarkStart w:id="79" w:name="пример-8"/>
    <w:p>
      <w:pPr>
        <w:pStyle w:val="Heading6"/>
      </w:pPr>
      <w:r>
        <w:t xml:space="preserve">3. Пример</w:t>
      </w:r>
    </w:p>
    <w:p>
      <w:pPr>
        <w:pStyle w:val="SourceCode"/>
      </w:pPr>
      <w:r>
        <w:rPr>
          <w:rStyle w:val="VerbatimChar"/>
        </w:rPr>
        <w:t xml:space="preserve">&amp;unifor('Av200#2')</w:t>
      </w:r>
      <w:r>
        <w:br/>
      </w:r>
      <w:r>
        <w:rPr>
          <w:rStyle w:val="VerbatimChar"/>
        </w:rPr>
        <w:t xml:space="preserve">&amp;unifor('Av910^a#5')</w:t>
      </w:r>
      <w:r>
        <w:br/>
      </w:r>
      <w:r>
        <w:rPr>
          <w:rStyle w:val="VerbatimChar"/>
        </w:rPr>
        <w:t xml:space="preserve">&amp;unifor('Av10^b*2.10#2')</w:t>
      </w:r>
    </w:p>
    <w:bookmarkEnd w:id="79"/>
    <w:bookmarkEnd w:id="80"/>
    <w:bookmarkStart w:id="84" w:name="Xb98c5b3cc5aeb2db7a820fd86a154a157aa4aea"/>
    <w:p>
      <w:pPr>
        <w:pStyle w:val="Heading5"/>
      </w:pPr>
      <w:r>
        <w:t xml:space="preserve">&amp;uf(’B… - Выдать библиографическую свертку документа</w:t>
      </w:r>
    </w:p>
    <w:bookmarkStart w:id="81" w:name="назначение-9"/>
    <w:p>
      <w:pPr>
        <w:pStyle w:val="Heading6"/>
      </w:pPr>
      <w:r>
        <w:t xml:space="preserve">1. Назначение</w:t>
      </w:r>
    </w:p>
    <w:p>
      <w:pPr>
        <w:pStyle w:val="FirstParagraph"/>
      </w:pPr>
      <w:r>
        <w:t xml:space="preserve">Выдать библиографическую свертку документа</w:t>
      </w:r>
    </w:p>
    <w:bookmarkEnd w:id="81"/>
    <w:bookmarkStart w:id="82" w:name="формат-передаваемая-строка-9"/>
    <w:p>
      <w:pPr>
        <w:pStyle w:val="Heading6"/>
      </w:pPr>
      <w:r>
        <w:t xml:space="preserve">2. Формат (передаваемая строка)</w:t>
      </w:r>
    </w:p>
    <w:p>
      <w:pPr>
        <w:pStyle w:val="SourceCode"/>
      </w:pPr>
      <w:r>
        <w:rPr>
          <w:rStyle w:val="NormalTok"/>
        </w:rPr>
        <w:t xml:space="preserve">B</w:t>
      </w:r>
    </w:p>
    <w:bookmarkEnd w:id="82"/>
    <w:bookmarkStart w:id="83" w:name="пример-9"/>
    <w:p>
      <w:pPr>
        <w:pStyle w:val="Heading6"/>
      </w:pPr>
      <w:r>
        <w:t xml:space="preserve">3. Пример</w:t>
      </w:r>
    </w:p>
    <w:p>
      <w:pPr>
        <w:pStyle w:val="SourceCode"/>
      </w:pPr>
      <w:r>
        <w:rPr>
          <w:rStyle w:val="VerbatimChar"/>
        </w:rPr>
        <w:t xml:space="preserve">&amp;unifor('B')</w:t>
      </w:r>
    </w:p>
    <w:bookmarkEnd w:id="83"/>
    <w:bookmarkEnd w:id="84"/>
    <w:bookmarkStart w:id="88" w:name="ufc---контроль-issnisbn"/>
    <w:p>
      <w:pPr>
        <w:pStyle w:val="Heading5"/>
      </w:pPr>
      <w:r>
        <w:t xml:space="preserve">&amp;uf(’C… - Контроль ISSN/ISBN</w:t>
      </w:r>
    </w:p>
    <w:bookmarkStart w:id="85" w:name="назначение-10"/>
    <w:p>
      <w:pPr>
        <w:pStyle w:val="Heading6"/>
      </w:pPr>
      <w:r>
        <w:t xml:space="preserve">1. Назначение</w:t>
      </w:r>
    </w:p>
    <w:p>
      <w:pPr>
        <w:pStyle w:val="FirstParagraph"/>
      </w:pPr>
      <w:r>
        <w:t xml:space="preserve">Контроль ISSN/ISBN</w:t>
      </w:r>
    </w:p>
    <w:p>
      <w:pPr>
        <w:pStyle w:val="BodyText"/>
      </w:pPr>
      <w:r>
        <w:t xml:space="preserve">При положительном результате - 0</w:t>
      </w:r>
    </w:p>
    <w:p>
      <w:pPr>
        <w:pStyle w:val="BodyText"/>
      </w:pPr>
      <w:r>
        <w:t xml:space="preserve">При отрицательном - 1</w:t>
      </w:r>
    </w:p>
    <w:bookmarkEnd w:id="85"/>
    <w:bookmarkStart w:id="86" w:name="формат-передаваемая-строка-10"/>
    <w:p>
      <w:pPr>
        <w:pStyle w:val="Heading6"/>
      </w:pPr>
      <w:r>
        <w:t xml:space="preserve">2. Формат (передаваемая строка)</w:t>
      </w:r>
    </w:p>
    <w:p>
      <w:pPr>
        <w:pStyle w:val="SourceCode"/>
      </w:pPr>
      <w:r>
        <w:rPr>
          <w:rStyle w:val="NormalTok"/>
        </w:rPr>
        <w:t xml:space="preserve">С&lt;ISSN/ISBN&gt;</w:t>
      </w:r>
    </w:p>
    <w:bookmarkEnd w:id="86"/>
    <w:bookmarkStart w:id="87" w:name="пример-10"/>
    <w:p>
      <w:pPr>
        <w:pStyle w:val="Heading6"/>
      </w:pPr>
      <w:r>
        <w:t xml:space="preserve">3. Пример</w:t>
      </w:r>
    </w:p>
    <w:p>
      <w:pPr>
        <w:pStyle w:val="SourceCode"/>
      </w:pPr>
      <w:r>
        <w:rPr>
          <w:rStyle w:val="VerbatimChar"/>
        </w:rPr>
        <w:t xml:space="preserve">&amp;unifor("C"v10^a)</w:t>
      </w:r>
    </w:p>
    <w:bookmarkEnd w:id="87"/>
    <w:bookmarkEnd w:id="88"/>
    <w:bookmarkStart w:id="92" w:name="X2aa85dcf4b940349658769e31fd3c0cd535c9fa"/>
    <w:p>
      <w:pPr>
        <w:pStyle w:val="Heading5"/>
      </w:pPr>
      <w:r>
        <w:t xml:space="preserve">&amp;uf(’D… - Форматирование документа из другой БД</w:t>
      </w:r>
    </w:p>
    <w:bookmarkStart w:id="89" w:name="назначение-11"/>
    <w:p>
      <w:pPr>
        <w:pStyle w:val="Heading6"/>
      </w:pPr>
      <w:r>
        <w:t xml:space="preserve">1. Назначение</w:t>
      </w:r>
    </w:p>
    <w:p>
      <w:pPr>
        <w:pStyle w:val="FirstParagraph"/>
      </w:pPr>
      <w:r>
        <w:t xml:space="preserve">Форматирование документа из другой БД (REF на другую БД – отношение</w:t>
      </w:r>
      <w:r>
        <w:t xml:space="preserve"> </w:t>
      </w:r>
      <w:r>
        <w:t xml:space="preserve">“от одного к одному”</w:t>
      </w:r>
      <w:r>
        <w:t xml:space="preserve">)</w:t>
      </w:r>
    </w:p>
    <w:bookmarkEnd w:id="89"/>
    <w:bookmarkStart w:id="90" w:name="формат-передаваемая-строка-11"/>
    <w:p>
      <w:pPr>
        <w:pStyle w:val="Heading6"/>
      </w:pPr>
      <w:r>
        <w:t xml:space="preserve">2. Формат (передаваемая строка)</w:t>
      </w:r>
    </w:p>
    <w:p>
      <w:pPr>
        <w:pStyle w:val="SourceCode"/>
      </w:pPr>
      <w:r>
        <w:rPr>
          <w:rStyle w:val="NormalTok"/>
        </w:rPr>
        <w:t xml:space="preserve">D&lt;dbn&gt;,&lt;@mfn|/termin/&gt;,&lt;@имя_формата|формат|*&gt;</w:t>
      </w:r>
    </w:p>
    <w:p>
      <w:pPr>
        <w:pStyle w:val="FirstParagraph"/>
      </w:pPr>
      <w:r>
        <w:t xml:space="preserve">где:</w:t>
      </w:r>
      <w:r>
        <w:t xml:space="preserve"> </w:t>
      </w:r>
      <w:r>
        <w:t xml:space="preserve">* &lt;dbn&gt; - имя БД;</w:t>
      </w:r>
      <w:r>
        <w:t xml:space="preserve"> </w:t>
      </w:r>
      <w:r>
        <w:t xml:space="preserve">* &lt;</w:t>
      </w:r>
      <w:r>
        <w:t xml:space="preserve">@mfn</w:t>
      </w:r>
      <w:r>
        <w:t xml:space="preserve">|/termin/&gt; - или непосредственно MFN с предшествующим символом @ или термин, ссылающийся на документ (термин - заключается в ограничительные символы);</w:t>
      </w:r>
      <w:r>
        <w:t xml:space="preserve"> </w:t>
      </w:r>
      <w:r>
        <w:t xml:space="preserve">* &lt;</w:t>
      </w:r>
      <w:r>
        <w:t xml:space="preserve">@имя_формата</w:t>
      </w:r>
      <w:r>
        <w:t xml:space="preserve">|формат|*&gt; - или имя формата с предшествующим символом @ или непосредственно формат.</w:t>
      </w:r>
    </w:p>
    <w:p>
      <w:pPr>
        <w:pStyle w:val="BodyText"/>
      </w:pPr>
      <w:r>
        <w:t xml:space="preserve">Если задается *, данные выводятся по прямой ссылке (метка поля, номер повторения)</w:t>
      </w:r>
    </w:p>
    <w:bookmarkEnd w:id="90"/>
    <w:bookmarkStart w:id="91" w:name="пример-11"/>
    <w:p>
      <w:pPr>
        <w:pStyle w:val="Heading6"/>
      </w:pPr>
      <w:r>
        <w:t xml:space="preserve">3. Пример</w:t>
      </w:r>
    </w:p>
    <w:p>
      <w:pPr>
        <w:pStyle w:val="SourceCode"/>
      </w:pPr>
      <w:r>
        <w:rPr>
          <w:rStyle w:val="VerbatimChar"/>
        </w:rPr>
        <w:t xml:space="preserve">&amp;unifor('DBOOK,/K=AAA/,v200')</w:t>
      </w:r>
    </w:p>
    <w:bookmarkEnd w:id="91"/>
    <w:bookmarkEnd w:id="92"/>
    <w:bookmarkStart w:id="96" w:name="X012ae3248351925cf9feba2325f8234bf0d0f01"/>
    <w:p>
      <w:pPr>
        <w:pStyle w:val="Heading5"/>
      </w:pPr>
      <w:r>
        <w:t xml:space="preserve">&amp;uf(’E… - Вернуть заданное количество первых слов в строке</w:t>
      </w:r>
    </w:p>
    <w:bookmarkStart w:id="93" w:name="назначение-12"/>
    <w:p>
      <w:pPr>
        <w:pStyle w:val="Heading6"/>
      </w:pPr>
      <w:r>
        <w:t xml:space="preserve">1. Назначение</w:t>
      </w:r>
    </w:p>
    <w:p>
      <w:pPr>
        <w:pStyle w:val="FirstParagraph"/>
      </w:pPr>
      <w:r>
        <w:t xml:space="preserve">Вернуть заданное количество первых слов в строке</w:t>
      </w:r>
    </w:p>
    <w:bookmarkEnd w:id="93"/>
    <w:bookmarkStart w:id="94" w:name="формат-передаваемая-строка-12"/>
    <w:p>
      <w:pPr>
        <w:pStyle w:val="Heading6"/>
      </w:pPr>
      <w:r>
        <w:t xml:space="preserve">2. Формат (передаваемая строка)</w:t>
      </w:r>
    </w:p>
    <w:p>
      <w:pPr>
        <w:pStyle w:val="SourceCode"/>
      </w:pPr>
      <w:r>
        <w:rPr>
          <w:rStyle w:val="NormalTok"/>
        </w:rPr>
        <w:t xml:space="preserve">EN&lt;строка&gt;</w:t>
      </w:r>
    </w:p>
    <w:p>
      <w:pPr>
        <w:pStyle w:val="FirstParagraph"/>
      </w:pPr>
      <w:r>
        <w:t xml:space="preserve">где</w:t>
      </w:r>
      <w:r>
        <w:t xml:space="preserve"> </w:t>
      </w:r>
      <w:r>
        <w:t xml:space="preserve">* N - количество слов (одна цифра)</w:t>
      </w:r>
    </w:p>
    <w:bookmarkEnd w:id="94"/>
    <w:bookmarkStart w:id="95" w:name="пример-12"/>
    <w:p>
      <w:pPr>
        <w:pStyle w:val="Heading6"/>
      </w:pPr>
      <w:r>
        <w:t xml:space="preserve">3. Пример</w:t>
      </w:r>
    </w:p>
    <w:p>
      <w:pPr>
        <w:pStyle w:val="SourceCode"/>
      </w:pPr>
      <w:r>
        <w:rPr>
          <w:rStyle w:val="VerbatimChar"/>
        </w:rPr>
        <w:t xml:space="preserve">&amp;unifor("E3"v200^a)</w:t>
      </w:r>
    </w:p>
    <w:bookmarkEnd w:id="95"/>
    <w:bookmarkEnd w:id="96"/>
    <w:bookmarkStart w:id="100" w:name="X3dd7f5099d93c22f94982550866f60543b79243"/>
    <w:p>
      <w:pPr>
        <w:pStyle w:val="Heading5"/>
      </w:pPr>
      <w:r>
        <w:t xml:space="preserve">&amp;uf(’F… - Вернуть конец строки после заданного количества первых слов</w:t>
      </w:r>
    </w:p>
    <w:bookmarkStart w:id="97" w:name="назначение-13"/>
    <w:p>
      <w:pPr>
        <w:pStyle w:val="Heading6"/>
      </w:pPr>
      <w:r>
        <w:t xml:space="preserve">1. Назначение</w:t>
      </w:r>
    </w:p>
    <w:p>
      <w:pPr>
        <w:pStyle w:val="FirstParagraph"/>
      </w:pPr>
      <w:r>
        <w:t xml:space="preserve">Вернуть конец строки после заданного количества первых слов</w:t>
      </w:r>
    </w:p>
    <w:bookmarkEnd w:id="97"/>
    <w:bookmarkStart w:id="98" w:name="формат-передаваемая-строка-13"/>
    <w:p>
      <w:pPr>
        <w:pStyle w:val="Heading6"/>
      </w:pPr>
      <w:r>
        <w:t xml:space="preserve">2. Формат (передаваемая строка)</w:t>
      </w:r>
    </w:p>
    <w:p>
      <w:pPr>
        <w:pStyle w:val="SourceCode"/>
      </w:pPr>
      <w:r>
        <w:rPr>
          <w:rStyle w:val="NormalTok"/>
        </w:rPr>
        <w:t xml:space="preserve">FN&lt;строка&gt;</w:t>
      </w:r>
    </w:p>
    <w:p>
      <w:pPr>
        <w:pStyle w:val="FirstParagraph"/>
      </w:pPr>
      <w:r>
        <w:t xml:space="preserve">где</w:t>
      </w:r>
      <w:r>
        <w:t xml:space="preserve"> </w:t>
      </w:r>
      <w:r>
        <w:t xml:space="preserve">* N - количество слов (одна цифра)</w:t>
      </w:r>
    </w:p>
    <w:bookmarkEnd w:id="98"/>
    <w:bookmarkStart w:id="99" w:name="пример-13"/>
    <w:p>
      <w:pPr>
        <w:pStyle w:val="Heading6"/>
      </w:pPr>
      <w:r>
        <w:t xml:space="preserve">3. Пример</w:t>
      </w:r>
    </w:p>
    <w:p>
      <w:pPr>
        <w:pStyle w:val="SourceCode"/>
      </w:pPr>
      <w:r>
        <w:rPr>
          <w:rStyle w:val="VerbatimChar"/>
        </w:rPr>
        <w:t xml:space="preserve">&amp;unifor("F3"v200^a)</w:t>
      </w:r>
    </w:p>
    <w:bookmarkEnd w:id="99"/>
    <w:bookmarkEnd w:id="100"/>
    <w:bookmarkStart w:id="104" w:name="X2bd6e007b4f286d8e27d679654785b06ace5cef"/>
    <w:p>
      <w:pPr>
        <w:pStyle w:val="Heading5"/>
      </w:pPr>
      <w:r>
        <w:t xml:space="preserve">&amp;uf(’G… - Вернуть часть строки до или начиная с заданного символа</w:t>
      </w:r>
    </w:p>
    <w:bookmarkStart w:id="101" w:name="назначение-14"/>
    <w:p>
      <w:pPr>
        <w:pStyle w:val="Heading6"/>
      </w:pPr>
      <w:r>
        <w:t xml:space="preserve">1. Назначение</w:t>
      </w:r>
    </w:p>
    <w:p>
      <w:pPr>
        <w:pStyle w:val="FirstParagraph"/>
      </w:pPr>
      <w:r>
        <w:t xml:space="preserve">Вернуть часть строки до или начиная с заданного символа</w:t>
      </w:r>
    </w:p>
    <w:bookmarkEnd w:id="101"/>
    <w:bookmarkStart w:id="102" w:name="формат-передаваемая-строка-14"/>
    <w:p>
      <w:pPr>
        <w:pStyle w:val="Heading6"/>
      </w:pPr>
      <w:r>
        <w:t xml:space="preserve">2. Формат (передаваемая строка)</w:t>
      </w:r>
    </w:p>
    <w:p>
      <w:pPr>
        <w:pStyle w:val="SourceCode"/>
      </w:pPr>
      <w:r>
        <w:rPr>
          <w:rStyle w:val="NormalTok"/>
        </w:rPr>
        <w:t xml:space="preserve">GNA&lt;строка&gt;</w:t>
      </w:r>
    </w:p>
    <w:p>
      <w:pPr>
        <w:pStyle w:val="FirstParagraph"/>
      </w:pPr>
      <w:r>
        <w:t xml:space="preserve">где:</w:t>
      </w:r>
      <w:r>
        <w:t xml:space="preserve"> </w:t>
      </w:r>
      <w:r>
        <w:t xml:space="preserve">* N может принимать значения:</w:t>
      </w:r>
      <w:r>
        <w:t xml:space="preserve"> </w:t>
      </w:r>
      <w:r>
        <w:t xml:space="preserve">* 0 (или A) – до заданного символа не включая его;</w:t>
      </w:r>
      <w:r>
        <w:t xml:space="preserve"> </w:t>
      </w:r>
      <w:r>
        <w:t xml:space="preserve">* 1 (или B) – начиная с заданного символа;</w:t>
      </w:r>
      <w:r>
        <w:t xml:space="preserve"> </w:t>
      </w:r>
      <w:r>
        <w:t xml:space="preserve">* 2 (или C) – после заданного символа;</w:t>
      </w:r>
      <w:r>
        <w:t xml:space="preserve"> </w:t>
      </w:r>
      <w:r>
        <w:t xml:space="preserve">* 3 (или D) – после последнего вхождения заданного символа;</w:t>
      </w:r>
      <w:r>
        <w:t xml:space="preserve"> </w:t>
      </w:r>
      <w:r>
        <w:t xml:space="preserve">* 4 (или E) – до последнего вхождения заданного символа (включая его);</w:t>
      </w:r>
      <w:r>
        <w:t xml:space="preserve"> </w:t>
      </w:r>
      <w:r>
        <w:t xml:space="preserve">* 5 – до последнего вхождения заданного символа (не включая его).</w:t>
      </w:r>
      <w:r>
        <w:t xml:space="preserve"> </w:t>
      </w:r>
      <w:r>
        <w:t xml:space="preserve">* А – заданный символ. Символ обозначает самого себя, кроме # (обозначает любую цифру) и $ (обозначает любую букву).</w:t>
      </w:r>
    </w:p>
    <w:p>
      <w:pPr>
        <w:pStyle w:val="BodyText"/>
      </w:pPr>
      <w:r>
        <w:t xml:space="preserve">@@</w:t>
      </w:r>
      <w:r>
        <w:t xml:space="preserve">@info</w:t>
      </w:r>
      <w:r>
        <w:t xml:space="preserve"> </w:t>
      </w:r>
      <w:r>
        <w:t xml:space="preserve">Функция G5 присутствует в версиях ИРБИС с 2015.1</w:t>
      </w:r>
      <w:r>
        <w:t xml:space="preserve"> </w:t>
      </w:r>
      <w:r>
        <w:t xml:space="preserve">@@@</w:t>
      </w:r>
    </w:p>
    <w:bookmarkEnd w:id="102"/>
    <w:bookmarkStart w:id="103" w:name="пример-14"/>
    <w:p>
      <w:pPr>
        <w:pStyle w:val="Heading6"/>
      </w:pPr>
      <w:r>
        <w:t xml:space="preserve">3. Пример</w:t>
      </w:r>
    </w:p>
    <w:p>
      <w:pPr>
        <w:pStyle w:val="SourceCode"/>
      </w:pPr>
      <w:r>
        <w:rPr>
          <w:rStyle w:val="VerbatimChar"/>
        </w:rPr>
        <w:t xml:space="preserve">&amp;unifor("G0#"v700)</w:t>
      </w:r>
      <w:r>
        <w:br/>
      </w:r>
      <w:r>
        <w:rPr>
          <w:rStyle w:val="VerbatimChar"/>
        </w:rPr>
        <w:t xml:space="preserve">&amp;unifor("G1-"v700^a)</w:t>
      </w:r>
      <w:r>
        <w:br/>
      </w:r>
      <w:r>
        <w:rPr>
          <w:rStyle w:val="VerbatimChar"/>
        </w:rPr>
        <w:t xml:space="preserve">&amp;unifor("G2-"v700^a)</w:t>
      </w:r>
    </w:p>
    <w:p>
      <w:pPr>
        <w:pStyle w:val="FirstParagraph"/>
      </w:pPr>
      <w:r>
        <w:t xml:space="preserve">Пример получения ссылки на файл из подполя 952^U полнотекстовой БД для файлов, добавленных с разбиением и без</w:t>
      </w:r>
    </w:p>
    <w:p>
      <w:pPr>
        <w:pStyle w:val="SourceCode"/>
      </w:pPr>
      <w:r>
        <w:rPr>
          <w:rStyle w:val="VerbatimChar"/>
        </w:rPr>
        <w:t xml:space="preserve">&amp;uf('G0:',&amp;uf('G4:',&amp;uf('G2:',&amp;uf('G2:',v952^U))))</w:t>
      </w:r>
    </w:p>
    <w:bookmarkEnd w:id="103"/>
    <w:bookmarkEnd w:id="104"/>
    <w:bookmarkStart w:id="108" w:name="ufi---вернуть-параметр-из-ini-файла"/>
    <w:p>
      <w:pPr>
        <w:pStyle w:val="Heading5"/>
      </w:pPr>
      <w:r>
        <w:t xml:space="preserve">&amp;uf(’I… - Вернуть параметр из INI-файла</w:t>
      </w:r>
    </w:p>
    <w:bookmarkStart w:id="105" w:name="назначение-15"/>
    <w:p>
      <w:pPr>
        <w:pStyle w:val="Heading6"/>
      </w:pPr>
      <w:r>
        <w:t xml:space="preserve">1. Назначение</w:t>
      </w:r>
    </w:p>
    <w:p>
      <w:pPr>
        <w:pStyle w:val="FirstParagraph"/>
      </w:pPr>
      <w:r>
        <w:t xml:space="preserve">Вернуть параметр из INI-файла</w:t>
      </w:r>
    </w:p>
    <w:bookmarkEnd w:id="105"/>
    <w:bookmarkStart w:id="106" w:name="формат-передаваемая-строка-15"/>
    <w:p>
      <w:pPr>
        <w:pStyle w:val="Heading6"/>
      </w:pPr>
      <w:r>
        <w:t xml:space="preserve">2. Формат (передаваемая строка)</w:t>
      </w:r>
    </w:p>
    <w:p>
      <w:pPr>
        <w:pStyle w:val="SourceCode"/>
      </w:pPr>
      <w:r>
        <w:rPr>
          <w:rStyle w:val="NormalTok"/>
        </w:rPr>
        <w:t xml:space="preserve">I&lt;SECTION&gt;,&lt;PAR_NAME&gt;,&lt;DEFAULT_VALUE&gt;</w:t>
      </w:r>
    </w:p>
    <w:bookmarkEnd w:id="106"/>
    <w:bookmarkStart w:id="107" w:name="пример-15"/>
    <w:p>
      <w:pPr>
        <w:pStyle w:val="Heading6"/>
      </w:pPr>
      <w:r>
        <w:t xml:space="preserve">3. Пример</w:t>
      </w:r>
    </w:p>
    <w:p>
      <w:pPr>
        <w:pStyle w:val="SourceCode"/>
      </w:pPr>
      <w:r>
        <w:rPr>
          <w:rStyle w:val="VerbatimChar"/>
        </w:rPr>
        <w:t xml:space="preserve">&amp;unifor('IPRIVATE,NAME,NONAME')</w:t>
      </w:r>
    </w:p>
    <w:bookmarkEnd w:id="107"/>
    <w:bookmarkEnd w:id="108"/>
    <w:bookmarkStart w:id="112" w:name="X950f06232691bb93b567694fb662b701dba5a52"/>
    <w:p>
      <w:pPr>
        <w:pStyle w:val="Heading5"/>
      </w:pPr>
      <w:r>
        <w:t xml:space="preserve">&amp;uf(’J… - Вернуть количество ссылок для заданного термина</w:t>
      </w:r>
    </w:p>
    <w:bookmarkStart w:id="109" w:name="назначение-16"/>
    <w:p>
      <w:pPr>
        <w:pStyle w:val="Heading6"/>
      </w:pPr>
      <w:r>
        <w:t xml:space="preserve">1. Назначение</w:t>
      </w:r>
    </w:p>
    <w:p>
      <w:pPr>
        <w:pStyle w:val="FirstParagraph"/>
      </w:pPr>
      <w:r>
        <w:t xml:space="preserve">Вернуть количество ссылок для заданного термина</w:t>
      </w:r>
    </w:p>
    <w:bookmarkEnd w:id="109"/>
    <w:bookmarkStart w:id="110" w:name="формат-передаваемая-строка-16"/>
    <w:p>
      <w:pPr>
        <w:pStyle w:val="Heading6"/>
      </w:pPr>
      <w:r>
        <w:t xml:space="preserve">2. Формат (передаваемая строка)</w:t>
      </w:r>
    </w:p>
    <w:p>
      <w:pPr>
        <w:pStyle w:val="SourceCode"/>
      </w:pPr>
      <w:r>
        <w:rPr>
          <w:rStyle w:val="NormalTok"/>
        </w:rPr>
        <w:t xml:space="preserve">J&lt;dbn&gt;,&lt;термин&gt;</w:t>
      </w:r>
    </w:p>
    <w:p>
      <w:pPr>
        <w:pStyle w:val="FirstParagraph"/>
      </w:pPr>
      <w:r>
        <w:t xml:space="preserve">где:</w:t>
      </w:r>
      <w:r>
        <w:t xml:space="preserve"> </w:t>
      </w:r>
      <w:r>
        <w:t xml:space="preserve">* &lt;dbn&gt; - имя БД; по умолчанию используется текущая.</w:t>
      </w:r>
    </w:p>
    <w:bookmarkEnd w:id="110"/>
    <w:bookmarkStart w:id="111" w:name="пример-16"/>
    <w:p>
      <w:pPr>
        <w:pStyle w:val="Heading6"/>
      </w:pPr>
      <w:r>
        <w:t xml:space="preserve">3. Пример</w:t>
      </w:r>
    </w:p>
    <w:p>
      <w:pPr>
        <w:pStyle w:val="SourceCode"/>
      </w:pPr>
      <w:r>
        <w:rPr>
          <w:rStyle w:val="VerbatimChar"/>
        </w:rPr>
        <w:t xml:space="preserve">&amp;unifor('JBOOK,',"A="v200^a)</w:t>
      </w:r>
    </w:p>
    <w:bookmarkEnd w:id="111"/>
    <w:bookmarkEnd w:id="112"/>
    <w:bookmarkStart w:id="116" w:name="ufk---раскодировка-через-справочник-меню"/>
    <w:p>
      <w:pPr>
        <w:pStyle w:val="Heading5"/>
      </w:pPr>
      <w:r>
        <w:t xml:space="preserve">&amp;uf(’K… - Раскодировка через справочник (меню)</w:t>
      </w:r>
    </w:p>
    <w:bookmarkStart w:id="113" w:name="назначение-17"/>
    <w:p>
      <w:pPr>
        <w:pStyle w:val="Heading6"/>
      </w:pPr>
      <w:r>
        <w:t xml:space="preserve">1. Назначение</w:t>
      </w:r>
    </w:p>
    <w:p>
      <w:pPr>
        <w:pStyle w:val="FirstParagraph"/>
      </w:pPr>
      <w:r>
        <w:t xml:space="preserve">Раскодировка через справочник (меню)</w:t>
      </w:r>
    </w:p>
    <w:bookmarkEnd w:id="113"/>
    <w:bookmarkStart w:id="114" w:name="формат-передаваемая-строка-17"/>
    <w:p>
      <w:pPr>
        <w:pStyle w:val="Heading6"/>
      </w:pPr>
      <w:r>
        <w:t xml:space="preserve">2. Формат (передаваемая строка)</w:t>
      </w:r>
    </w:p>
    <w:p>
      <w:pPr>
        <w:pStyle w:val="SourceCode"/>
      </w:pPr>
      <w:r>
        <w:rPr>
          <w:rStyle w:val="NormalTok"/>
        </w:rPr>
        <w:t xml:space="preserve">K&lt;имя_меню&gt;\&lt;исх_значение&gt;</w:t>
      </w:r>
    </w:p>
    <w:p>
      <w:pPr>
        <w:pStyle w:val="FirstParagraph"/>
      </w:pPr>
      <w:r>
        <w:t xml:space="preserve">где:</w:t>
      </w:r>
      <w:r>
        <w:t xml:space="preserve"> </w:t>
      </w:r>
      <w:r>
        <w:t xml:space="preserve">* &lt;разделитель&gt; между &lt;имя_справочника&gt; и &lt;исх_значение&gt; может быть двух видов:</w:t>
      </w:r>
      <w:r>
        <w:t xml:space="preserve"> </w:t>
      </w:r>
      <w:r>
        <w:t xml:space="preserve">*  - раскодировка с учетом регистра,</w:t>
      </w:r>
      <w:r>
        <w:t xml:space="preserve"> </w:t>
      </w:r>
      <w:r>
        <w:t xml:space="preserve">* ! - раскодировка без учета регистра.</w:t>
      </w:r>
    </w:p>
    <w:bookmarkEnd w:id="114"/>
    <w:bookmarkStart w:id="115" w:name="пример-17"/>
    <w:p>
      <w:pPr>
        <w:pStyle w:val="Heading6"/>
      </w:pPr>
      <w:r>
        <w:t xml:space="preserve">3. Пример</w:t>
      </w:r>
    </w:p>
    <w:p>
      <w:pPr>
        <w:pStyle w:val="SourceCode"/>
      </w:pPr>
      <w:r>
        <w:rPr>
          <w:rStyle w:val="VerbatimChar"/>
        </w:rPr>
        <w:t xml:space="preserve">&amp;unifor("Kjz.mnu\"v101)</w:t>
      </w:r>
    </w:p>
    <w:bookmarkEnd w:id="115"/>
    <w:bookmarkEnd w:id="116"/>
    <w:bookmarkStart w:id="120" w:name="ufl---вернуть-окончание-термина"/>
    <w:p>
      <w:pPr>
        <w:pStyle w:val="Heading5"/>
      </w:pPr>
      <w:r>
        <w:t xml:space="preserve">&amp;uf(’L… - Вернуть окончание термина</w:t>
      </w:r>
    </w:p>
    <w:bookmarkStart w:id="117" w:name="назначение-18"/>
    <w:p>
      <w:pPr>
        <w:pStyle w:val="Heading6"/>
      </w:pPr>
      <w:r>
        <w:t xml:space="preserve">1. Назначение</w:t>
      </w:r>
    </w:p>
    <w:p>
      <w:pPr>
        <w:pStyle w:val="FirstParagraph"/>
      </w:pPr>
      <w:r>
        <w:t xml:space="preserve">Вернуть окончание термина</w:t>
      </w:r>
    </w:p>
    <w:bookmarkEnd w:id="117"/>
    <w:bookmarkStart w:id="118" w:name="формат-передаваемая-строка-18"/>
    <w:p>
      <w:pPr>
        <w:pStyle w:val="Heading6"/>
      </w:pPr>
      <w:r>
        <w:t xml:space="preserve">2. Формат (передаваемая строка)</w:t>
      </w:r>
    </w:p>
    <w:p>
      <w:pPr>
        <w:pStyle w:val="SourceCode"/>
      </w:pPr>
      <w:r>
        <w:rPr>
          <w:rStyle w:val="NormalTok"/>
        </w:rPr>
        <w:t xml:space="preserve">L&lt;начало_термина&gt;</w:t>
      </w:r>
    </w:p>
    <w:bookmarkEnd w:id="118"/>
    <w:bookmarkStart w:id="119" w:name="пример-18"/>
    <w:p>
      <w:pPr>
        <w:pStyle w:val="Heading6"/>
      </w:pPr>
      <w:r>
        <w:t xml:space="preserve">3. Пример</w:t>
      </w:r>
    </w:p>
    <w:p>
      <w:pPr>
        <w:pStyle w:val="SourceCode"/>
      </w:pPr>
      <w:r>
        <w:rPr>
          <w:rStyle w:val="VerbatimChar"/>
        </w:rPr>
        <w:t xml:space="preserve">&amp;unifor("L"v101)</w:t>
      </w:r>
    </w:p>
    <w:bookmarkEnd w:id="119"/>
    <w:bookmarkEnd w:id="120"/>
    <w:bookmarkStart w:id="124" w:name="Xe69b75d665ea5bad37587ca17141dbbeab9a0f1"/>
    <w:p>
      <w:pPr>
        <w:pStyle w:val="Heading5"/>
      </w:pPr>
      <w:r>
        <w:t xml:space="preserve">&amp;uf(’M… - Отсортировать повторения заданного поля</w:t>
      </w:r>
    </w:p>
    <w:bookmarkStart w:id="121" w:name="назначение-19"/>
    <w:p>
      <w:pPr>
        <w:pStyle w:val="Heading6"/>
      </w:pPr>
      <w:r>
        <w:t xml:space="preserve">1. Назначение</w:t>
      </w:r>
    </w:p>
    <w:p>
      <w:pPr>
        <w:pStyle w:val="FirstParagraph"/>
      </w:pPr>
      <w:r>
        <w:t xml:space="preserve">Отсортировать повторения заданного поля (имеется в виду строковая сортировка) - функция ничего не возвращает. Можно применять только в глобальной корректировке.</w:t>
      </w:r>
    </w:p>
    <w:bookmarkEnd w:id="121"/>
    <w:bookmarkStart w:id="122" w:name="формат-передаваемая-строка-19"/>
    <w:p>
      <w:pPr>
        <w:pStyle w:val="Heading6"/>
      </w:pPr>
      <w:r>
        <w:t xml:space="preserve">2. Формат (передаваемая строка)</w:t>
      </w:r>
    </w:p>
    <w:p>
      <w:pPr>
        <w:pStyle w:val="SourceCode"/>
      </w:pPr>
      <w:r>
        <w:rPr>
          <w:rStyle w:val="NormalTok"/>
        </w:rPr>
        <w:t xml:space="preserve">MX&lt;tag&gt;^&lt;delims&gt;</w:t>
      </w:r>
    </w:p>
    <w:p>
      <w:pPr>
        <w:pStyle w:val="FirstParagraph"/>
      </w:pPr>
      <w:r>
        <w:t xml:space="preserve">где:</w:t>
      </w:r>
      <w:r>
        <w:t xml:space="preserve"> </w:t>
      </w:r>
      <w:r>
        <w:t xml:space="preserve">* X - вид сортировки:</w:t>
      </w:r>
      <w:r>
        <w:t xml:space="preserve"> </w:t>
      </w:r>
      <w:r>
        <w:t xml:space="preserve">* I - по возрастанию;</w:t>
      </w:r>
      <w:r>
        <w:t xml:space="preserve"> </w:t>
      </w:r>
      <w:r>
        <w:t xml:space="preserve">* D - по убыванию.</w:t>
      </w:r>
      <w:r>
        <w:t xml:space="preserve"> </w:t>
      </w:r>
      <w:r>
        <w:t xml:space="preserve">* &lt;tag&gt; - метка поля.</w:t>
      </w:r>
      <w:r>
        <w:t xml:space="preserve"> </w:t>
      </w:r>
      <w:r>
        <w:t xml:space="preserve">* &lt;delims&gt; - разделители подполей, определяющих ключ сортировки.</w:t>
      </w:r>
    </w:p>
    <w:bookmarkEnd w:id="122"/>
    <w:bookmarkStart w:id="123" w:name="пример-19"/>
    <w:p>
      <w:pPr>
        <w:pStyle w:val="Heading6"/>
      </w:pPr>
      <w:r>
        <w:t xml:space="preserve">3. Пример</w:t>
      </w:r>
    </w:p>
    <w:p>
      <w:pPr>
        <w:pStyle w:val="SourceCode"/>
      </w:pPr>
      <w:r>
        <w:rPr>
          <w:rStyle w:val="VerbatimChar"/>
        </w:rPr>
        <w:t xml:space="preserve">(/&amp;unifor('1*R; ?v910^h#1'))</w:t>
      </w:r>
    </w:p>
    <w:bookmarkEnd w:id="123"/>
    <w:bookmarkEnd w:id="124"/>
    <w:bookmarkStart w:id="128" w:name="Xd53bfd3bcd22b429073b1a0423503a39969eab2"/>
    <w:p>
      <w:pPr>
        <w:pStyle w:val="Heading5"/>
      </w:pPr>
      <w:r>
        <w:t xml:space="preserve">&amp;uf(’P… - Выдать заданное оригинальное повторение поля</w:t>
      </w:r>
    </w:p>
    <w:bookmarkStart w:id="125" w:name="назначение-20"/>
    <w:p>
      <w:pPr>
        <w:pStyle w:val="Heading6"/>
      </w:pPr>
      <w:r>
        <w:t xml:space="preserve">1. Назначение</w:t>
      </w:r>
    </w:p>
    <w:p>
      <w:pPr>
        <w:pStyle w:val="FirstParagraph"/>
      </w:pPr>
      <w:r>
        <w:t xml:space="preserve">Выдать заданное оригинальное повторение поля</w:t>
      </w:r>
    </w:p>
    <w:bookmarkEnd w:id="125"/>
    <w:bookmarkStart w:id="126" w:name="формат-передаваемая-строка-20"/>
    <w:p>
      <w:pPr>
        <w:pStyle w:val="Heading6"/>
      </w:pPr>
      <w:r>
        <w:t xml:space="preserve">2. Формат (передаваемая строка)</w:t>
      </w:r>
    </w:p>
    <w:p>
      <w:pPr>
        <w:pStyle w:val="SourceCode"/>
      </w:pPr>
      <w:r>
        <w:rPr>
          <w:rStyle w:val="NormalTok"/>
        </w:rPr>
        <w:t xml:space="preserve">PV&lt;tag&gt;^&lt;delim&gt;*&lt;offset&gt;.&lt;length&gt;#&lt;occur&gt;</w:t>
      </w:r>
    </w:p>
    <w:p>
      <w:pPr>
        <w:pStyle w:val="FirstParagraph"/>
      </w:pPr>
      <w:r>
        <w:t xml:space="preserve">где:</w:t>
      </w:r>
      <w:r>
        <w:t xml:space="preserve"> </w:t>
      </w:r>
      <w:r>
        <w:t xml:space="preserve">* &lt;tag&gt; - метка поля;</w:t>
      </w:r>
      <w:r>
        <w:t xml:space="preserve"> </w:t>
      </w:r>
      <w:r>
        <w:t xml:space="preserve">* &lt;delim&gt; - разделитель подполя;</w:t>
      </w:r>
      <w:r>
        <w:t xml:space="preserve"> </w:t>
      </w:r>
      <w:r>
        <w:t xml:space="preserve">* &lt;offset&gt; - смещение;</w:t>
      </w:r>
      <w:r>
        <w:t xml:space="preserve"> </w:t>
      </w:r>
      <w:r>
        <w:t xml:space="preserve">* &lt;length&gt; - длина;</w:t>
      </w:r>
      <w:r>
        <w:t xml:space="preserve"> </w:t>
      </w:r>
      <w:r>
        <w:t xml:space="preserve">* &lt;occur&gt; - номер повторения</w:t>
      </w:r>
    </w:p>
    <w:bookmarkEnd w:id="126"/>
    <w:bookmarkStart w:id="127" w:name="пример-20"/>
    <w:p>
      <w:pPr>
        <w:pStyle w:val="Heading6"/>
      </w:pPr>
      <w:r>
        <w:t xml:space="preserve">3. Пример</w:t>
      </w:r>
    </w:p>
    <w:p>
      <w:pPr>
        <w:pStyle w:val="SourceCode"/>
      </w:pPr>
      <w:r>
        <w:rPr>
          <w:rStyle w:val="VerbatimChar"/>
        </w:rPr>
        <w:t xml:space="preserve">&amp;unifor('Pv200#2')</w:t>
      </w:r>
      <w:r>
        <w:br/>
      </w:r>
      <w:r>
        <w:rPr>
          <w:rStyle w:val="VerbatimChar"/>
        </w:rPr>
        <w:t xml:space="preserve">&amp;unifor('Pv910^a#5')</w:t>
      </w:r>
      <w:r>
        <w:br/>
      </w:r>
      <w:r>
        <w:rPr>
          <w:rStyle w:val="VerbatimChar"/>
        </w:rPr>
        <w:t xml:space="preserve">&amp;unifor('Pv10^b*2.10#2')</w:t>
      </w:r>
    </w:p>
    <w:bookmarkEnd w:id="127"/>
    <w:bookmarkEnd w:id="128"/>
    <w:bookmarkStart w:id="132" w:name="X0b561469301ce07ca41a951140ee6cc762ebb95"/>
    <w:p>
      <w:pPr>
        <w:pStyle w:val="Heading5"/>
      </w:pPr>
      <w:r>
        <w:t xml:space="preserve">&amp;uf(’Q… - Вернуть заданную строку в нижнем регистре</w:t>
      </w:r>
    </w:p>
    <w:bookmarkStart w:id="129" w:name="назначение-21"/>
    <w:p>
      <w:pPr>
        <w:pStyle w:val="Heading6"/>
      </w:pPr>
      <w:r>
        <w:t xml:space="preserve">1. Назначение</w:t>
      </w:r>
    </w:p>
    <w:p>
      <w:pPr>
        <w:pStyle w:val="FirstParagraph"/>
      </w:pPr>
      <w:r>
        <w:t xml:space="preserve">Вернуть заданную строку в нижнем регистре</w:t>
      </w:r>
    </w:p>
    <w:bookmarkEnd w:id="129"/>
    <w:bookmarkStart w:id="130" w:name="формат-передаваемая-строка-21"/>
    <w:p>
      <w:pPr>
        <w:pStyle w:val="Heading6"/>
      </w:pPr>
      <w:r>
        <w:t xml:space="preserve">2. Формат (передаваемая строка)</w:t>
      </w:r>
    </w:p>
    <w:p>
      <w:pPr>
        <w:pStyle w:val="SourceCode"/>
      </w:pPr>
      <w:r>
        <w:rPr>
          <w:rStyle w:val="NormalTok"/>
        </w:rPr>
        <w:t xml:space="preserve">Q&lt;строка&gt;</w:t>
      </w:r>
    </w:p>
    <w:bookmarkEnd w:id="130"/>
    <w:bookmarkStart w:id="131" w:name="пример-21"/>
    <w:p>
      <w:pPr>
        <w:pStyle w:val="Heading6"/>
      </w:pPr>
      <w:r>
        <w:t xml:space="preserve">3. Пример</w:t>
      </w:r>
    </w:p>
    <w:p>
      <w:pPr>
        <w:pStyle w:val="SourceCode"/>
      </w:pPr>
      <w:r>
        <w:rPr>
          <w:rStyle w:val="VerbatimChar"/>
        </w:rPr>
        <w:t xml:space="preserve">&amp;unifor("Q"v200)</w:t>
      </w:r>
    </w:p>
    <w:bookmarkEnd w:id="131"/>
    <w:bookmarkEnd w:id="132"/>
    <w:bookmarkStart w:id="136" w:name="ufr---генерация-случайного-числа"/>
    <w:p>
      <w:pPr>
        <w:pStyle w:val="Heading5"/>
      </w:pPr>
      <w:r>
        <w:t xml:space="preserve">&amp;uf(’R… - Генерация случайного числа</w:t>
      </w:r>
    </w:p>
    <w:bookmarkStart w:id="133" w:name="назначение-22"/>
    <w:p>
      <w:pPr>
        <w:pStyle w:val="Heading6"/>
      </w:pPr>
      <w:r>
        <w:t xml:space="preserve">1. Назначение</w:t>
      </w:r>
    </w:p>
    <w:p>
      <w:pPr>
        <w:pStyle w:val="FirstParagraph"/>
      </w:pPr>
      <w:r>
        <w:t xml:space="preserve">Генерация случайного числа</w:t>
      </w:r>
    </w:p>
    <w:bookmarkEnd w:id="133"/>
    <w:bookmarkStart w:id="134" w:name="формат-передаваемая-строка-22"/>
    <w:p>
      <w:pPr>
        <w:pStyle w:val="Heading6"/>
      </w:pPr>
      <w:r>
        <w:t xml:space="preserve">2. Формат (передаваемая строка)</w:t>
      </w:r>
    </w:p>
    <w:p>
      <w:pPr>
        <w:pStyle w:val="SourceCode"/>
      </w:pPr>
      <w:r>
        <w:rPr>
          <w:rStyle w:val="NormalTok"/>
        </w:rPr>
        <w:t xml:space="preserve">RNN</w:t>
      </w:r>
    </w:p>
    <w:p>
      <w:pPr>
        <w:pStyle w:val="FirstParagraph"/>
      </w:pPr>
      <w:r>
        <w:t xml:space="preserve">где:</w:t>
      </w:r>
      <w:r>
        <w:t xml:space="preserve"> </w:t>
      </w:r>
      <w:r>
        <w:t xml:space="preserve">* NN - кол-во знаков в случайном числе (по умолчанию - 6)</w:t>
      </w:r>
    </w:p>
    <w:bookmarkEnd w:id="134"/>
    <w:bookmarkStart w:id="135" w:name="пример-22"/>
    <w:p>
      <w:pPr>
        <w:pStyle w:val="Heading6"/>
      </w:pPr>
      <w:r>
        <w:t xml:space="preserve">3. Пример</w:t>
      </w:r>
    </w:p>
    <w:p>
      <w:pPr>
        <w:pStyle w:val="SourceCode"/>
      </w:pPr>
      <w:r>
        <w:rPr>
          <w:rStyle w:val="VerbatimChar"/>
        </w:rPr>
        <w:t xml:space="preserve">&amp;unifor('R10')</w:t>
      </w:r>
    </w:p>
    <w:bookmarkEnd w:id="135"/>
    <w:bookmarkEnd w:id="136"/>
    <w:bookmarkStart w:id="140" w:name="ufs---универсальный-счетчик"/>
    <w:p>
      <w:pPr>
        <w:pStyle w:val="Heading5"/>
      </w:pPr>
      <w:r>
        <w:t xml:space="preserve">&amp;uf(’S… - Универсальный счетчик</w:t>
      </w:r>
    </w:p>
    <w:bookmarkStart w:id="137" w:name="назначение-23"/>
    <w:p>
      <w:pPr>
        <w:pStyle w:val="Heading6"/>
      </w:pPr>
      <w:r>
        <w:t xml:space="preserve">1. Назначение</w:t>
      </w:r>
    </w:p>
    <w:p>
      <w:pPr>
        <w:pStyle w:val="FirstParagraph"/>
      </w:pPr>
      <w:r>
        <w:t xml:space="preserve">Универсальный счетчик</w:t>
      </w:r>
    </w:p>
    <w:bookmarkEnd w:id="137"/>
    <w:bookmarkStart w:id="138" w:name="формат-передаваемая-строка-23"/>
    <w:p>
      <w:pPr>
        <w:pStyle w:val="Heading6"/>
      </w:pPr>
      <w:r>
        <w:t xml:space="preserve">2. Формат (передаваемая строка)</w:t>
      </w:r>
    </w:p>
    <w:p>
      <w:pPr>
        <w:pStyle w:val="SourceCode"/>
      </w:pPr>
      <w:r>
        <w:rPr>
          <w:rStyle w:val="NormalTok"/>
        </w:rPr>
        <w:t xml:space="preserve">SN</w:t>
      </w:r>
    </w:p>
    <w:p>
      <w:pPr>
        <w:pStyle w:val="FirstParagraph"/>
      </w:pPr>
      <w:r>
        <w:t xml:space="preserve">где:</w:t>
      </w:r>
      <w:r>
        <w:t xml:space="preserve"> </w:t>
      </w:r>
      <w:r>
        <w:t xml:space="preserve">* N=0 - обнулить счетчик;</w:t>
      </w:r>
      <w:r>
        <w:t xml:space="preserve"> </w:t>
      </w:r>
      <w:r>
        <w:t xml:space="preserve">* N=1..9 - увеличить значение счетчика на соотв.значение}</w:t>
      </w:r>
      <w:r>
        <w:t xml:space="preserve"> </w:t>
      </w:r>
      <w:r>
        <w:t xml:space="preserve">* N=A - вернуть значение счетчика - арабскими цифрами}</w:t>
      </w:r>
      <w:r>
        <w:t xml:space="preserve"> </w:t>
      </w:r>
      <w:r>
        <w:t xml:space="preserve">* N=X - вернуть значение счетчика - римскими цифрами</w:t>
      </w:r>
    </w:p>
    <w:bookmarkEnd w:id="138"/>
    <w:bookmarkStart w:id="139" w:name="пример-23"/>
    <w:p>
      <w:pPr>
        <w:pStyle w:val="Heading6"/>
      </w:pPr>
      <w:r>
        <w:t xml:space="preserve">3. Пример</w:t>
      </w:r>
    </w:p>
    <w:p>
      <w:pPr>
        <w:pStyle w:val="SourceCode"/>
      </w:pPr>
      <w:r>
        <w:rPr>
          <w:rStyle w:val="VerbatimChar"/>
        </w:rPr>
        <w:t xml:space="preserve">&amp;unifor('S0')</w:t>
      </w:r>
      <w:r>
        <w:br/>
      </w:r>
      <w:r>
        <w:rPr>
          <w:rStyle w:val="VerbatimChar"/>
        </w:rPr>
        <w:t xml:space="preserve">&amp;unifor('S1')</w:t>
      </w:r>
      <w:r>
        <w:br/>
      </w:r>
      <w:r>
        <w:rPr>
          <w:rStyle w:val="VerbatimChar"/>
        </w:rPr>
        <w:t xml:space="preserve">&amp;unifor('SA')</w:t>
      </w:r>
    </w:p>
    <w:bookmarkEnd w:id="139"/>
    <w:bookmarkEnd w:id="140"/>
    <w:bookmarkStart w:id="144" w:name="Xdd5b7348a2d80a0731adffa3f2f59b063688f96"/>
    <w:p>
      <w:pPr>
        <w:pStyle w:val="Heading5"/>
      </w:pPr>
      <w:r>
        <w:t xml:space="preserve">&amp;uf(’T… - Транслитерирование кириллических символов с помощью латиницы</w:t>
      </w:r>
    </w:p>
    <w:bookmarkStart w:id="141" w:name="назначение-24"/>
    <w:p>
      <w:pPr>
        <w:pStyle w:val="Heading6"/>
      </w:pPr>
      <w:r>
        <w:t xml:space="preserve">1. Назначение</w:t>
      </w:r>
    </w:p>
    <w:p>
      <w:pPr>
        <w:pStyle w:val="FirstParagraph"/>
      </w:pPr>
      <w:r>
        <w:t xml:space="preserve">Транслитерирование кириллических символов с помощью латиницы</w:t>
      </w:r>
    </w:p>
    <w:bookmarkEnd w:id="141"/>
    <w:bookmarkStart w:id="142" w:name="формат-передаваемая-строка-24"/>
    <w:p>
      <w:pPr>
        <w:pStyle w:val="Heading6"/>
      </w:pPr>
      <w:r>
        <w:t xml:space="preserve">2. Формат (передаваемая строка)</w:t>
      </w:r>
    </w:p>
    <w:p>
      <w:pPr>
        <w:pStyle w:val="SourceCode"/>
      </w:pPr>
      <w:r>
        <w:rPr>
          <w:rStyle w:val="NormalTok"/>
        </w:rPr>
        <w:t xml:space="preserve">TN&lt;строка&gt;</w:t>
      </w:r>
    </w:p>
    <w:p>
      <w:pPr>
        <w:pStyle w:val="FirstParagraph"/>
      </w:pPr>
      <w:r>
        <w:t xml:space="preserve">где:</w:t>
      </w:r>
      <w:r>
        <w:t xml:space="preserve"> </w:t>
      </w:r>
      <w:r>
        <w:t xml:space="preserve">* N - вид таблицы транслитерирования (0 или 1)</w:t>
      </w:r>
    </w:p>
    <w:bookmarkEnd w:id="142"/>
    <w:bookmarkStart w:id="143" w:name="пример-24"/>
    <w:p>
      <w:pPr>
        <w:pStyle w:val="Heading6"/>
      </w:pPr>
      <w:r>
        <w:t xml:space="preserve">3. Пример</w:t>
      </w:r>
    </w:p>
    <w:p>
      <w:pPr>
        <w:pStyle w:val="SourceCode"/>
      </w:pPr>
      <w:r>
        <w:rPr>
          <w:rStyle w:val="VerbatimChar"/>
        </w:rPr>
        <w:t xml:space="preserve">&amp;unifor("T0"V200)</w:t>
      </w:r>
    </w:p>
    <w:bookmarkEnd w:id="143"/>
    <w:bookmarkEnd w:id="144"/>
    <w:bookmarkStart w:id="148" w:name="ufu---куммуляция-номеров-журналов"/>
    <w:p>
      <w:pPr>
        <w:pStyle w:val="Heading5"/>
      </w:pPr>
      <w:r>
        <w:t xml:space="preserve">&amp;uf(’U… - Куммуляция номеров журналов</w:t>
      </w:r>
    </w:p>
    <w:bookmarkStart w:id="145" w:name="назначение-25"/>
    <w:p>
      <w:pPr>
        <w:pStyle w:val="Heading6"/>
      </w:pPr>
      <w:r>
        <w:t xml:space="preserve">1. Назначение</w:t>
      </w:r>
    </w:p>
    <w:p>
      <w:pPr>
        <w:pStyle w:val="FirstParagraph"/>
      </w:pPr>
      <w:r>
        <w:t xml:space="preserve">Куммуляция номеров журналов</w:t>
      </w:r>
    </w:p>
    <w:bookmarkEnd w:id="145"/>
    <w:bookmarkStart w:id="146" w:name="формат-передаваемая-строка-25"/>
    <w:p>
      <w:pPr>
        <w:pStyle w:val="Heading6"/>
      </w:pPr>
      <w:r>
        <w:t xml:space="preserve">2. Формат (передаваемая строка)</w:t>
      </w:r>
    </w:p>
    <w:p>
      <w:pPr>
        <w:pStyle w:val="SourceCode"/>
      </w:pPr>
      <w:r>
        <w:rPr>
          <w:rStyle w:val="NormalTok"/>
        </w:rPr>
        <w:t xml:space="preserve">U&lt;strbase&gt;,&lt;stradd&gt;</w:t>
      </w:r>
    </w:p>
    <w:p>
      <w:pPr>
        <w:pStyle w:val="FirstParagraph"/>
      </w:pPr>
      <w:r>
        <w:t xml:space="preserve">где:</w:t>
      </w:r>
      <w:r>
        <w:t xml:space="preserve"> </w:t>
      </w:r>
      <w:r>
        <w:t xml:space="preserve">* &lt;strbase&gt; - исходная куммулированная строка</w:t>
      </w:r>
      <w:r>
        <w:t xml:space="preserve"> </w:t>
      </w:r>
      <w:r>
        <w:t xml:space="preserve">* &lt;stradd&gt; - куммулируемые номера</w:t>
      </w:r>
    </w:p>
    <w:bookmarkEnd w:id="146"/>
    <w:bookmarkStart w:id="147" w:name="пример-25"/>
    <w:p>
      <w:pPr>
        <w:pStyle w:val="Heading6"/>
      </w:pPr>
      <w:r>
        <w:t xml:space="preserve">3. Пример</w:t>
      </w:r>
    </w:p>
    <w:p>
      <w:pPr>
        <w:pStyle w:val="SourceCode"/>
      </w:pPr>
      <w:r>
        <w:rPr>
          <w:rStyle w:val="VerbatimChar"/>
        </w:rPr>
        <w:t xml:space="preserve">&amp;unifor("U"v909^h",12")</w:t>
      </w:r>
    </w:p>
    <w:bookmarkEnd w:id="147"/>
    <w:bookmarkEnd w:id="148"/>
    <w:bookmarkStart w:id="152" w:name="ufv---декуммуляция-номеров-журналов"/>
    <w:p>
      <w:pPr>
        <w:pStyle w:val="Heading5"/>
      </w:pPr>
      <w:r>
        <w:t xml:space="preserve">&amp;uf(’V… - Декуммуляция номеров журналов</w:t>
      </w:r>
    </w:p>
    <w:bookmarkStart w:id="149" w:name="назначение-26"/>
    <w:p>
      <w:pPr>
        <w:pStyle w:val="Heading6"/>
      </w:pPr>
      <w:r>
        <w:t xml:space="preserve">1. Назначение</w:t>
      </w:r>
    </w:p>
    <w:p>
      <w:pPr>
        <w:pStyle w:val="FirstParagraph"/>
      </w:pPr>
      <w:r>
        <w:t xml:space="preserve">Декуммуляция номеров журналов</w:t>
      </w:r>
    </w:p>
    <w:bookmarkEnd w:id="149"/>
    <w:bookmarkStart w:id="150" w:name="формат-передаваемая-строка-26"/>
    <w:p>
      <w:pPr>
        <w:pStyle w:val="Heading6"/>
      </w:pPr>
      <w:r>
        <w:t xml:space="preserve">2. Формат (передаваемая строка)</w:t>
      </w:r>
    </w:p>
    <w:p>
      <w:pPr>
        <w:pStyle w:val="SourceCode"/>
      </w:pPr>
      <w:r>
        <w:rPr>
          <w:rStyle w:val="NormalTok"/>
        </w:rPr>
        <w:t xml:space="preserve">V&lt;strbase&gt;</w:t>
      </w:r>
    </w:p>
    <w:p>
      <w:pPr>
        <w:pStyle w:val="FirstParagraph"/>
      </w:pPr>
      <w:r>
        <w:t xml:space="preserve">где:</w:t>
      </w:r>
      <w:r>
        <w:t xml:space="preserve"> </w:t>
      </w:r>
      <w:r>
        <w:t xml:space="preserve">* &lt;strbase&gt; - исходная строка для декуммуляции</w:t>
      </w:r>
    </w:p>
    <w:bookmarkEnd w:id="150"/>
    <w:bookmarkStart w:id="151" w:name="пример-26"/>
    <w:p>
      <w:pPr>
        <w:pStyle w:val="Heading6"/>
      </w:pPr>
      <w:r>
        <w:t xml:space="preserve">3. Пример</w:t>
      </w:r>
    </w:p>
    <w:p>
      <w:pPr>
        <w:pStyle w:val="SourceCode"/>
      </w:pPr>
      <w:r>
        <w:rPr>
          <w:rStyle w:val="VerbatimChar"/>
        </w:rPr>
        <w:t xml:space="preserve">&amp;unifor("V"v909^h")</w:t>
      </w:r>
    </w:p>
    <w:bookmarkEnd w:id="151"/>
    <w:bookmarkEnd w:id="152"/>
    <w:bookmarkStart w:id="156" w:name="ufw---контроль-куммуляции"/>
    <w:p>
      <w:pPr>
        <w:pStyle w:val="Heading5"/>
      </w:pPr>
      <w:r>
        <w:t xml:space="preserve">&amp;uf(’W… - Контроль куммуляции</w:t>
      </w:r>
    </w:p>
    <w:bookmarkStart w:id="153" w:name="назначение-27"/>
    <w:p>
      <w:pPr>
        <w:pStyle w:val="Heading6"/>
      </w:pPr>
      <w:r>
        <w:t xml:space="preserve">1. Назначение</w:t>
      </w:r>
    </w:p>
    <w:p>
      <w:pPr>
        <w:pStyle w:val="FirstParagraph"/>
      </w:pPr>
      <w:r>
        <w:t xml:space="preserve">Контроль куммуляции</w:t>
      </w:r>
    </w:p>
    <w:bookmarkEnd w:id="153"/>
    <w:bookmarkStart w:id="154" w:name="формат-передаваемая-строка-27"/>
    <w:p>
      <w:pPr>
        <w:pStyle w:val="Heading6"/>
      </w:pPr>
      <w:r>
        <w:t xml:space="preserve">2. Формат (передаваемая строка)</w:t>
      </w:r>
    </w:p>
    <w:p>
      <w:pPr>
        <w:pStyle w:val="SourceCode"/>
      </w:pPr>
      <w:r>
        <w:rPr>
          <w:rStyle w:val="NormalTok"/>
        </w:rPr>
        <w:t xml:space="preserve">W&lt;strbadd&gt;,&lt;strbase&gt;</w:t>
      </w:r>
    </w:p>
    <w:p>
      <w:pPr>
        <w:pStyle w:val="FirstParagraph"/>
      </w:pPr>
      <w:r>
        <w:t xml:space="preserve">где:</w:t>
      </w:r>
      <w:r>
        <w:t xml:space="preserve"> </w:t>
      </w:r>
      <w:r>
        <w:t xml:space="preserve">* &lt;stradd&gt; - куммулируемый номер.</w:t>
      </w:r>
      <w:r>
        <w:t xml:space="preserve"> </w:t>
      </w:r>
      <w:r>
        <w:t xml:space="preserve">* &lt;strbase&gt; - исходная куммулированная строка</w:t>
      </w:r>
    </w:p>
    <w:p>
      <w:pPr>
        <w:pStyle w:val="BodyText"/>
      </w:pPr>
      <w:r>
        <w:t xml:space="preserve">Возврат:</w:t>
      </w:r>
      <w:r>
        <w:t xml:space="preserve"> </w:t>
      </w:r>
      <w:r>
        <w:t xml:space="preserve">* 0 - если &lt;stradd&gt; не присутствует в &lt;strbase&gt;</w:t>
      </w:r>
      <w:r>
        <w:t xml:space="preserve"> </w:t>
      </w:r>
      <w:r>
        <w:t xml:space="preserve">* 1 - если &lt;stradd&gt; присутствует в &lt;strbase&gt;</w:t>
      </w:r>
    </w:p>
    <w:bookmarkEnd w:id="154"/>
    <w:bookmarkStart w:id="155" w:name="пример-27"/>
    <w:p>
      <w:pPr>
        <w:pStyle w:val="Heading6"/>
      </w:pPr>
      <w:r>
        <w:t xml:space="preserve">3. Пример</w:t>
      </w:r>
    </w:p>
    <w:p>
      <w:pPr>
        <w:pStyle w:val="SourceCode"/>
      </w:pPr>
      <w:r>
        <w:rPr>
          <w:rStyle w:val="VerbatimChar"/>
        </w:rPr>
        <w:t xml:space="preserve">&amp;unifor("W12,"v909^h)</w:t>
      </w:r>
    </w:p>
    <w:bookmarkEnd w:id="155"/>
    <w:bookmarkEnd w:id="156"/>
    <w:bookmarkStart w:id="160" w:name="X933d79c1d23fa465989115d473b9d8703323065"/>
    <w:p>
      <w:pPr>
        <w:pStyle w:val="Heading5"/>
      </w:pPr>
      <w:r>
        <w:t xml:space="preserve">&amp;uf(’X… - Удаление из заданной строки фрагментов, выделенных угловыми скобками &lt;&gt;</w:t>
      </w:r>
    </w:p>
    <w:bookmarkStart w:id="157" w:name="назначение-28"/>
    <w:p>
      <w:pPr>
        <w:pStyle w:val="Heading6"/>
      </w:pPr>
      <w:r>
        <w:t xml:space="preserve">1. Назначение</w:t>
      </w:r>
    </w:p>
    <w:p>
      <w:pPr>
        <w:pStyle w:val="FirstParagraph"/>
      </w:pPr>
      <w:r>
        <w:t xml:space="preserve">Удаление из заданной строки фрагментов, выделенных угловыми скобками &lt;&gt;</w:t>
      </w:r>
    </w:p>
    <w:bookmarkEnd w:id="157"/>
    <w:bookmarkStart w:id="158" w:name="формат-передаваемая-строка-28"/>
    <w:p>
      <w:pPr>
        <w:pStyle w:val="Heading6"/>
      </w:pPr>
      <w:r>
        <w:t xml:space="preserve">2. Формат (передаваемая строка)</w:t>
      </w:r>
    </w:p>
    <w:p>
      <w:pPr>
        <w:pStyle w:val="SourceCode"/>
      </w:pPr>
      <w:r>
        <w:rPr>
          <w:rStyle w:val="NormalTok"/>
        </w:rPr>
        <w:t xml:space="preserve">X&lt;строка&gt;</w:t>
      </w:r>
    </w:p>
    <w:bookmarkEnd w:id="158"/>
    <w:bookmarkStart w:id="159" w:name="пример-28"/>
    <w:p>
      <w:pPr>
        <w:pStyle w:val="Heading6"/>
      </w:pPr>
      <w:r>
        <w:t xml:space="preserve">3. Пример</w:t>
      </w:r>
    </w:p>
    <w:p>
      <w:pPr>
        <w:pStyle w:val="SourceCode"/>
      </w:pPr>
      <w:r>
        <w:rPr>
          <w:rStyle w:val="VerbatimChar"/>
        </w:rPr>
        <w:t xml:space="preserve">&amp;unifor("X"v200)</w:t>
      </w:r>
    </w:p>
    <w:bookmarkEnd w:id="159"/>
    <w:bookmarkEnd w:id="160"/>
    <w:bookmarkStart w:id="164" w:name="X3a469ae7128fec0ba751d48286a178e0a6fc354"/>
    <w:p>
      <w:pPr>
        <w:pStyle w:val="Heading5"/>
      </w:pPr>
      <w:r>
        <w:t xml:space="preserve">&amp;uf(’Y… - Возвращает данные о всех свободных (не выданных) экземплярах по всем местах хранения</w:t>
      </w:r>
    </w:p>
    <w:bookmarkStart w:id="161" w:name="назначение-29"/>
    <w:p>
      <w:pPr>
        <w:pStyle w:val="Heading6"/>
      </w:pPr>
      <w:r>
        <w:t xml:space="preserve">1. Назначение</w:t>
      </w:r>
    </w:p>
    <w:p>
      <w:pPr>
        <w:pStyle w:val="FirstParagraph"/>
      </w:pPr>
      <w:r>
        <w:t xml:space="preserve">Возвращает данные о всех свободных (не выданных) экземплярах по всем местах хранения</w:t>
      </w:r>
    </w:p>
    <w:bookmarkEnd w:id="161"/>
    <w:bookmarkStart w:id="162" w:name="формат-передаваемая-строка-29"/>
    <w:p>
      <w:pPr>
        <w:pStyle w:val="Heading6"/>
      </w:pPr>
      <w:r>
        <w:t xml:space="preserve">2. Формат (передаваемая строка)</w:t>
      </w:r>
    </w:p>
    <w:p>
      <w:pPr>
        <w:pStyle w:val="SourceCode"/>
      </w:pPr>
      <w:r>
        <w:rPr>
          <w:rStyle w:val="NormalTok"/>
        </w:rPr>
        <w:t xml:space="preserve">Y</w:t>
      </w:r>
    </w:p>
    <w:bookmarkEnd w:id="162"/>
    <w:bookmarkStart w:id="163" w:name="пример-29"/>
    <w:p>
      <w:pPr>
        <w:pStyle w:val="Heading6"/>
      </w:pPr>
      <w:r>
        <w:t xml:space="preserve">3. Пример</w:t>
      </w:r>
    </w:p>
    <w:p>
      <w:pPr>
        <w:pStyle w:val="SourceCode"/>
      </w:pPr>
      <w:r>
        <w:rPr>
          <w:rStyle w:val="VerbatimChar"/>
        </w:rPr>
        <w:t xml:space="preserve">&amp;unifor('Y')</w:t>
      </w:r>
    </w:p>
    <w:bookmarkEnd w:id="163"/>
    <w:bookmarkEnd w:id="164"/>
    <w:bookmarkStart w:id="168" w:name="ufz---размножение-экземпляров"/>
    <w:p>
      <w:pPr>
        <w:pStyle w:val="Heading5"/>
      </w:pPr>
      <w:r>
        <w:t xml:space="preserve">&amp;uf(’Z… - Размножение экземпляров</w:t>
      </w:r>
    </w:p>
    <w:bookmarkStart w:id="165" w:name="назначение-30"/>
    <w:p>
      <w:pPr>
        <w:pStyle w:val="Heading6"/>
      </w:pPr>
      <w:r>
        <w:t xml:space="preserve">1. Назначение</w:t>
      </w:r>
    </w:p>
    <w:p>
      <w:pPr>
        <w:pStyle w:val="FirstParagraph"/>
      </w:pPr>
      <w:r>
        <w:t xml:space="preserve">Размножение экземпляров (функция ничего не возвращает). Можно применять только в глобальной корректировке</w:t>
      </w:r>
    </w:p>
    <w:bookmarkEnd w:id="165"/>
    <w:bookmarkStart w:id="166" w:name="формат-передаваемая-строка-30"/>
    <w:p>
      <w:pPr>
        <w:pStyle w:val="Heading6"/>
      </w:pPr>
      <w:r>
        <w:t xml:space="preserve">2. Формат (передаваемая строка)</w:t>
      </w:r>
    </w:p>
    <w:p>
      <w:pPr>
        <w:pStyle w:val="SourceCode"/>
      </w:pPr>
      <w:r>
        <w:rPr>
          <w:rStyle w:val="NormalTok"/>
        </w:rPr>
        <w:t xml:space="preserve">Z</w:t>
      </w:r>
    </w:p>
    <w:bookmarkEnd w:id="166"/>
    <w:bookmarkStart w:id="167" w:name="пример-30"/>
    <w:p>
      <w:pPr>
        <w:pStyle w:val="Heading6"/>
      </w:pPr>
      <w:r>
        <w:t xml:space="preserve">3. Пример</w:t>
      </w:r>
    </w:p>
    <w:p>
      <w:pPr>
        <w:pStyle w:val="SourceCode"/>
      </w:pPr>
      <w:r>
        <w:rPr>
          <w:rStyle w:val="VerbatimChar"/>
        </w:rPr>
        <w:t xml:space="preserve">&amp;unifor('Z')</w:t>
      </w:r>
    </w:p>
    <w:bookmarkEnd w:id="167"/>
    <w:bookmarkEnd w:id="168"/>
    <w:bookmarkStart w:id="172" w:name="X9ff08fb980e9ec0d561cc52d2cace6ead172b22"/>
    <w:p>
      <w:pPr>
        <w:pStyle w:val="Heading5"/>
      </w:pPr>
      <w:r>
        <w:t xml:space="preserve">&amp;uf(’!… - Команда постредактуры: очистить результат расформатирования от двойных разделителей</w:t>
      </w:r>
    </w:p>
    <w:bookmarkStart w:id="169" w:name="назначение-31"/>
    <w:p>
      <w:pPr>
        <w:pStyle w:val="Heading6"/>
      </w:pPr>
      <w:r>
        <w:t xml:space="preserve">1. Назначение</w:t>
      </w:r>
    </w:p>
    <w:p>
      <w:pPr>
        <w:pStyle w:val="FirstParagraph"/>
      </w:pPr>
      <w:r>
        <w:t xml:space="preserve">Команда постредактуры: очистить результат расформатирования от двойных разделителей (двойных точек или двойных конструкций &lt;. - &gt;). Имеет смысл использовать один раз в любом месте формата</w:t>
      </w:r>
    </w:p>
    <w:bookmarkEnd w:id="169"/>
    <w:bookmarkStart w:id="170" w:name="формат-передаваемая-строка-31"/>
    <w:p>
      <w:pPr>
        <w:pStyle w:val="Heading6"/>
      </w:pPr>
      <w:r>
        <w:t xml:space="preserve">2. Формат (передаваемая строка)</w:t>
      </w:r>
    </w:p>
    <w:p>
      <w:pPr>
        <w:pStyle w:val="SourceCode"/>
      </w:pPr>
      <w:r>
        <w:rPr>
          <w:rStyle w:val="NormalTok"/>
        </w:rPr>
        <w:t xml:space="preserve">!</w:t>
      </w:r>
    </w:p>
    <w:bookmarkEnd w:id="170"/>
    <w:bookmarkStart w:id="171" w:name="пример-31"/>
    <w:p>
      <w:pPr>
        <w:pStyle w:val="Heading6"/>
      </w:pPr>
      <w:r>
        <w:t xml:space="preserve">3. Пример</w:t>
      </w:r>
    </w:p>
    <w:p>
      <w:pPr>
        <w:pStyle w:val="SourceCode"/>
      </w:pPr>
      <w:r>
        <w:rPr>
          <w:rStyle w:val="VerbatimChar"/>
        </w:rPr>
        <w:t xml:space="preserve">&amp;unifor('!')</w:t>
      </w:r>
    </w:p>
    <w:bookmarkEnd w:id="171"/>
    <w:bookmarkEnd w:id="172"/>
    <w:bookmarkStart w:id="176" w:name="X9480a7d39848b39af4c810098855179ec0d26c4"/>
    <w:p>
      <w:pPr>
        <w:pStyle w:val="Heading5"/>
      </w:pPr>
      <w:r>
        <w:t xml:space="preserve">&amp;uf(’$… - Возвращает хеш-сумму (MD5) заданной строки</w:t>
      </w:r>
    </w:p>
    <w:bookmarkStart w:id="173" w:name="назначение-32"/>
    <w:p>
      <w:pPr>
        <w:pStyle w:val="Heading6"/>
      </w:pPr>
      <w:r>
        <w:t xml:space="preserve">1. Назначение</w:t>
      </w:r>
    </w:p>
    <w:p>
      <w:pPr>
        <w:pStyle w:val="FirstParagraph"/>
      </w:pPr>
      <w:r>
        <w:t xml:space="preserve">Возвращает хеш-сумму (MD5) заданной строки</w:t>
      </w:r>
    </w:p>
    <w:bookmarkEnd w:id="173"/>
    <w:bookmarkStart w:id="174" w:name="формат-передаваемая-строка-32"/>
    <w:p>
      <w:pPr>
        <w:pStyle w:val="Heading6"/>
      </w:pPr>
      <w:r>
        <w:t xml:space="preserve">2. Формат (передаваемая строка)</w:t>
      </w:r>
    </w:p>
    <w:p>
      <w:pPr>
        <w:pStyle w:val="SourceCode"/>
      </w:pPr>
      <w:r>
        <w:rPr>
          <w:rStyle w:val="NormalTok"/>
        </w:rPr>
        <w:t xml:space="preserve">$&lt;строка&gt;</w:t>
      </w:r>
    </w:p>
    <w:bookmarkEnd w:id="174"/>
    <w:bookmarkStart w:id="175" w:name="пример-32"/>
    <w:p>
      <w:pPr>
        <w:pStyle w:val="Heading6"/>
      </w:pPr>
      <w:r>
        <w:t xml:space="preserve">3. Пример</w:t>
      </w:r>
    </w:p>
    <w:p>
      <w:pPr>
        <w:pStyle w:val="SourceCode"/>
      </w:pPr>
      <w:r>
        <w:rPr>
          <w:rStyle w:val="VerbatimChar"/>
        </w:rPr>
        <w:t xml:space="preserve">&amp;uf('$....')</w:t>
      </w:r>
    </w:p>
    <w:bookmarkEnd w:id="175"/>
    <w:bookmarkEnd w:id="176"/>
    <w:bookmarkStart w:id="180" w:name="uf---сравнить-заданное-значение-с-маской"/>
    <w:p>
      <w:pPr>
        <w:pStyle w:val="Heading5"/>
      </w:pPr>
      <w:r>
        <w:t xml:space="preserve">&amp;uf(’=… - Сравнить заданное значение с маской</w:t>
      </w:r>
    </w:p>
    <w:bookmarkStart w:id="177" w:name="назначение-33"/>
    <w:p>
      <w:pPr>
        <w:pStyle w:val="Heading6"/>
      </w:pPr>
      <w:r>
        <w:t xml:space="preserve">1. Назначение</w:t>
      </w:r>
    </w:p>
    <w:p>
      <w:pPr>
        <w:pStyle w:val="FirstParagraph"/>
      </w:pPr>
      <w:r>
        <w:t xml:space="preserve">Сравнить заданное значение с маской</w:t>
      </w:r>
    </w:p>
    <w:bookmarkEnd w:id="177"/>
    <w:bookmarkStart w:id="178" w:name="формат-передаваемая-строка-33"/>
    <w:p>
      <w:pPr>
        <w:pStyle w:val="Heading6"/>
      </w:pPr>
      <w:r>
        <w:t xml:space="preserve">2. Формат (передаваемая строка)</w:t>
      </w:r>
    </w:p>
    <w:p>
      <w:pPr>
        <w:pStyle w:val="SourceCode"/>
      </w:pPr>
      <w:r>
        <w:rPr>
          <w:rStyle w:val="NormalTok"/>
        </w:rPr>
        <w:t xml:space="preserve">=!&lt;маска&gt;!&lt;значение&gt;</w:t>
      </w:r>
    </w:p>
    <w:p>
      <w:pPr>
        <w:pStyle w:val="FirstParagraph"/>
      </w:pPr>
      <w:r>
        <w:t xml:space="preserve">где:</w:t>
      </w:r>
      <w:r>
        <w:t xml:space="preserve"> </w:t>
      </w:r>
      <w:r>
        <w:t xml:space="preserve">* ! – уникальный разделитель (может быть любым символом).</w:t>
      </w:r>
      <w:r>
        <w:t xml:space="preserve"> </w:t>
      </w:r>
      <w:r>
        <w:t xml:space="preserve">* Маска может содержать принятые символы маскирования * и ?. В общем случае маска может содержать несколько масок, отделенных друг от друга символом вертикальной черты |.</w:t>
      </w:r>
    </w:p>
    <w:bookmarkEnd w:id="178"/>
    <w:bookmarkStart w:id="179" w:name="примечание"/>
    <w:p>
      <w:pPr>
        <w:pStyle w:val="Heading6"/>
      </w:pPr>
      <w:r>
        <w:t xml:space="preserve">3. Примечание</w:t>
      </w:r>
    </w:p>
    <w:p>
      <w:pPr>
        <w:pStyle w:val="FirstParagraph"/>
      </w:pPr>
      <w:r>
        <w:t xml:space="preserve">Присутствует в версиях ИРБИС с 2008.1.</w:t>
      </w:r>
    </w:p>
    <w:bookmarkEnd w:id="179"/>
    <w:bookmarkEnd w:id="180"/>
    <w:bookmarkStart w:id="183" w:name="X2a7bcb9a4aaaca9b3e683b1067ba7569c33085a"/>
    <w:p>
      <w:pPr>
        <w:pStyle w:val="Heading5"/>
      </w:pPr>
      <w:r>
        <w:t xml:space="preserve">&amp;uf(’@… - Выдать содержимое документа полностью в формате JSON</w:t>
      </w:r>
    </w:p>
    <w:bookmarkStart w:id="181" w:name="назначение-34"/>
    <w:p>
      <w:pPr>
        <w:pStyle w:val="Heading6"/>
      </w:pPr>
      <w:r>
        <w:t xml:space="preserve">1. Назначение</w:t>
      </w:r>
    </w:p>
    <w:p>
      <w:pPr>
        <w:pStyle w:val="FirstParagraph"/>
      </w:pPr>
      <w:r>
        <w:t xml:space="preserve">Выдать содержимое документа полностью в формате JSON</w:t>
      </w:r>
    </w:p>
    <w:bookmarkEnd w:id="181"/>
    <w:bookmarkStart w:id="182" w:name="формат-передаваемая-строка-34"/>
    <w:p>
      <w:pPr>
        <w:pStyle w:val="Heading6"/>
      </w:pPr>
      <w:r>
        <w:t xml:space="preserve">2. Формат (передаваемая строка)</w:t>
      </w:r>
    </w:p>
    <w:p>
      <w:pPr>
        <w:pStyle w:val="SourceCode"/>
      </w:pPr>
      <w:r>
        <w:rPr>
          <w:rStyle w:val="NormalTok"/>
        </w:rPr>
        <w:t xml:space="preserve">@</w:t>
      </w:r>
    </w:p>
    <w:bookmarkEnd w:id="182"/>
    <w:bookmarkEnd w:id="183"/>
    <w:bookmarkStart w:id="187" w:name="Xd52e87a278a06b738ae90b30c1f451f0b369fdd"/>
    <w:p>
      <w:pPr>
        <w:pStyle w:val="Heading5"/>
      </w:pPr>
      <w:r>
        <w:t xml:space="preserve">&amp;uf(’[… - Чистка данных от команд контекстного выделения</w:t>
      </w:r>
    </w:p>
    <w:bookmarkStart w:id="184" w:name="назначение-35"/>
    <w:p>
      <w:pPr>
        <w:pStyle w:val="Heading6"/>
      </w:pPr>
      <w:r>
        <w:t xml:space="preserve">1. Назначение</w:t>
      </w:r>
    </w:p>
    <w:p>
      <w:pPr>
        <w:pStyle w:val="FirstParagraph"/>
      </w:pPr>
      <w:r>
        <w:t xml:space="preserve">Чистка данных от команд контекстного выделения</w:t>
      </w:r>
    </w:p>
    <w:bookmarkEnd w:id="184"/>
    <w:bookmarkStart w:id="185" w:name="формат-передаваемая-строка-35"/>
    <w:p>
      <w:pPr>
        <w:pStyle w:val="Heading6"/>
      </w:pPr>
      <w:r>
        <w:t xml:space="preserve">2. Формат (передаваемая строка)</w:t>
      </w:r>
    </w:p>
    <w:p>
      <w:pPr>
        <w:pStyle w:val="SourceCode"/>
      </w:pPr>
      <w:r>
        <w:rPr>
          <w:rStyle w:val="NormalTok"/>
        </w:rPr>
        <w:t xml:space="preserve">[</w:t>
      </w:r>
    </w:p>
    <w:bookmarkEnd w:id="185"/>
    <w:bookmarkStart w:id="186" w:name="пример-33"/>
    <w:p>
      <w:pPr>
        <w:pStyle w:val="Heading6"/>
      </w:pPr>
      <w:r>
        <w:t xml:space="preserve">3. Пример</w:t>
      </w:r>
    </w:p>
    <w:p>
      <w:pPr>
        <w:pStyle w:val="SourceCode"/>
      </w:pPr>
      <w:r>
        <w:rPr>
          <w:rStyle w:val="VerbatimChar"/>
        </w:rPr>
        <w:t xml:space="preserve">&amp;unifor('[')</w:t>
      </w:r>
    </w:p>
    <w:bookmarkEnd w:id="186"/>
    <w:bookmarkEnd w:id="187"/>
    <w:bookmarkStart w:id="191" w:name="X493a27084d89caff3f527f23997e8b9e8f7fdd2"/>
    <w:p>
      <w:pPr>
        <w:pStyle w:val="Heading5"/>
      </w:pPr>
      <w:r>
        <w:t xml:space="preserve">&amp;uf(’+0… - Выдать содержимое документа полностью во внутреннем представлении</w:t>
      </w:r>
    </w:p>
    <w:bookmarkStart w:id="188" w:name="назначение-36"/>
    <w:p>
      <w:pPr>
        <w:pStyle w:val="Heading6"/>
      </w:pPr>
      <w:r>
        <w:t xml:space="preserve">1. Назначение</w:t>
      </w:r>
    </w:p>
    <w:p>
      <w:pPr>
        <w:pStyle w:val="FirstParagraph"/>
      </w:pPr>
      <w:r>
        <w:t xml:space="preserve">Выдать содержимое документа полностью во внутреннем представлении</w:t>
      </w:r>
    </w:p>
    <w:bookmarkEnd w:id="188"/>
    <w:bookmarkStart w:id="189" w:name="формат-передаваемая-строка-36"/>
    <w:p>
      <w:pPr>
        <w:pStyle w:val="Heading6"/>
      </w:pPr>
      <w:r>
        <w:t xml:space="preserve">2. Формат (передаваемая строка)</w:t>
      </w:r>
    </w:p>
    <w:p>
      <w:pPr>
        <w:pStyle w:val="SourceCode"/>
      </w:pPr>
      <w:r>
        <w:rPr>
          <w:rStyle w:val="NormalTok"/>
        </w:rPr>
        <w:t xml:space="preserve">+0</w:t>
      </w:r>
    </w:p>
    <w:bookmarkEnd w:id="189"/>
    <w:bookmarkStart w:id="190" w:name="пример-34"/>
    <w:p>
      <w:pPr>
        <w:pStyle w:val="Heading6"/>
      </w:pPr>
      <w:r>
        <w:t xml:space="preserve">3. Пример</w:t>
      </w:r>
    </w:p>
    <w:p>
      <w:pPr>
        <w:pStyle w:val="SourceCode"/>
      </w:pPr>
      <w:r>
        <w:rPr>
          <w:rStyle w:val="VerbatimChar"/>
        </w:rPr>
        <w:t xml:space="preserve">&amp;unifor('+0')</w:t>
      </w:r>
    </w:p>
    <w:p>
      <w:pPr>
        <w:pStyle w:val="FirstParagraph"/>
      </w:pPr>
      <w:r>
        <w:t xml:space="preserve">Результат расформатирования:</w:t>
      </w:r>
    </w:p>
    <w:p>
      <w:pPr>
        <w:pStyle w:val="SourceCode"/>
      </w:pPr>
      <w:r>
        <w:rPr>
          <w:rStyle w:val="NormalTok"/>
        </w:rPr>
        <w:t xml:space="preserve">0</w:t>
      </w:r>
      <w:r>
        <w:br/>
      </w:r>
      <w:r>
        <w:rPr>
          <w:rStyle w:val="NormalTok"/>
        </w:rPr>
        <w:t xml:space="preserve">2#0</w:t>
      </w:r>
      <w:r>
        <w:br/>
      </w:r>
      <w:r>
        <w:rPr>
          <w:rStyle w:val="NormalTok"/>
        </w:rPr>
        <w:t xml:space="preserve">0#1</w:t>
      </w:r>
      <w:r>
        <w:br/>
      </w:r>
      <w:r>
        <w:rPr>
          <w:rStyle w:val="NormalTok"/>
        </w:rPr>
        <w:t xml:space="preserve">910#^YДА^PНЮАУ - каф. кримінального права</w:t>
      </w:r>
      <w:r>
        <w:br/>
      </w:r>
      <w:r>
        <w:rPr>
          <w:rStyle w:val="NormalTok"/>
        </w:rPr>
        <w:t xml:space="preserve">920#ATHRA</w:t>
      </w:r>
      <w:r>
        <w:br/>
      </w:r>
      <w:r>
        <w:rPr>
          <w:rStyle w:val="NormalTok"/>
        </w:rPr>
        <w:t xml:space="preserve">210#^AТацій^BВ. Я.^GВасиль Якович^8ukr</w:t>
      </w:r>
      <w:r>
        <w:br/>
      </w:r>
      <w:r>
        <w:rPr>
          <w:rStyle w:val="NormalTok"/>
        </w:rPr>
        <w:t xml:space="preserve">710#^AТаций^BВ. Я.^GВасилий Яковлевич^8rus</w:t>
      </w:r>
      <w:r>
        <w:br/>
      </w:r>
      <w:r>
        <w:rPr>
          <w:rStyle w:val="NormalTok"/>
        </w:rPr>
        <w:t xml:space="preserve">907#^A20110301^B111</w:t>
      </w:r>
      <w:r>
        <w:br/>
      </w:r>
      <w:r>
        <w:rPr>
          <w:rStyle w:val="NormalTok"/>
        </w:rPr>
        <w:t xml:space="preserve">907#^A20110419^BZhukovskaya</w:t>
      </w:r>
      <w:r>
        <w:br/>
      </w:r>
      <w:r>
        <w:rPr>
          <w:rStyle w:val="NormalTok"/>
        </w:rPr>
        <w:t xml:space="preserve">710#^ATatsiy^BV.^8eng</w:t>
      </w:r>
      <w:r>
        <w:br/>
      </w:r>
      <w:r>
        <w:rPr>
          <w:rStyle w:val="NormalTok"/>
        </w:rPr>
        <w:t xml:space="preserve">907#^A20110421^BZhukovskaya</w:t>
      </w:r>
      <w:r>
        <w:br/>
      </w:r>
      <w:r>
        <w:rPr>
          <w:rStyle w:val="NormalTok"/>
        </w:rPr>
        <w:t xml:space="preserve">907#^A20111108^B111</w:t>
      </w:r>
    </w:p>
    <w:bookmarkEnd w:id="190"/>
    <w:bookmarkEnd w:id="191"/>
    <w:bookmarkStart w:id="195" w:name="Xeec0a481ed47570ba9d5f23210ed99edf6504de"/>
    <w:p>
      <w:pPr>
        <w:pStyle w:val="Heading5"/>
      </w:pPr>
      <w:r>
        <w:t xml:space="preserve">&amp;uf(’+1… - Очистить (опустошить) все глобальные переменные</w:t>
      </w:r>
    </w:p>
    <w:bookmarkStart w:id="192" w:name="назначение-37"/>
    <w:p>
      <w:pPr>
        <w:pStyle w:val="Heading6"/>
      </w:pPr>
      <w:r>
        <w:t xml:space="preserve">1. Назначение</w:t>
      </w:r>
    </w:p>
    <w:p>
      <w:pPr>
        <w:pStyle w:val="FirstParagraph"/>
      </w:pPr>
      <w:r>
        <w:t xml:space="preserve">Очистить (опустошить) все глобальные переменные</w:t>
      </w:r>
    </w:p>
    <w:bookmarkEnd w:id="192"/>
    <w:bookmarkStart w:id="193" w:name="формат-передаваемая-строка-37"/>
    <w:p>
      <w:pPr>
        <w:pStyle w:val="Heading6"/>
      </w:pPr>
      <w:r>
        <w:t xml:space="preserve">2. Формат (передаваемая строка)</w:t>
      </w:r>
    </w:p>
    <w:p>
      <w:pPr>
        <w:pStyle w:val="SourceCode"/>
      </w:pPr>
      <w:r>
        <w:rPr>
          <w:rStyle w:val="NormalTok"/>
        </w:rPr>
        <w:t xml:space="preserve">+1</w:t>
      </w:r>
    </w:p>
    <w:bookmarkEnd w:id="193"/>
    <w:bookmarkStart w:id="194" w:name="пример-35"/>
    <w:p>
      <w:pPr>
        <w:pStyle w:val="Heading6"/>
      </w:pPr>
      <w:r>
        <w:t xml:space="preserve">3. Пример</w:t>
      </w:r>
    </w:p>
    <w:p>
      <w:pPr>
        <w:pStyle w:val="SourceCode"/>
      </w:pPr>
      <w:r>
        <w:rPr>
          <w:rStyle w:val="VerbatimChar"/>
        </w:rPr>
        <w:t xml:space="preserve">&amp;unifor('+1')</w:t>
      </w:r>
    </w:p>
    <w:bookmarkEnd w:id="194"/>
    <w:bookmarkEnd w:id="195"/>
    <w:bookmarkStart w:id="198" w:name="uf1a---сложение-списков-групп-переменных"/>
    <w:p>
      <w:pPr>
        <w:pStyle w:val="Heading5"/>
      </w:pPr>
      <w:r>
        <w:t xml:space="preserve">&amp;uf(’+1A… - Сложение списков (групп переменных)</w:t>
      </w:r>
    </w:p>
    <w:bookmarkStart w:id="196" w:name="назначение-38"/>
    <w:p>
      <w:pPr>
        <w:pStyle w:val="Heading6"/>
      </w:pPr>
      <w:r>
        <w:t xml:space="preserve">1. Назначение</w:t>
      </w:r>
    </w:p>
    <w:p>
      <w:pPr>
        <w:pStyle w:val="FirstParagraph"/>
      </w:pPr>
      <w:r>
        <w:t xml:space="preserve">Сложение списков (групп переменных)</w:t>
      </w:r>
    </w:p>
    <w:bookmarkEnd w:id="196"/>
    <w:bookmarkStart w:id="197" w:name="формат-передаваемая-строка-38"/>
    <w:p>
      <w:pPr>
        <w:pStyle w:val="Heading6"/>
      </w:pPr>
      <w:r>
        <w:t xml:space="preserve">2. Формат (передаваемая строка)</w:t>
      </w:r>
    </w:p>
    <w:p>
      <w:pPr>
        <w:pStyle w:val="SourceCode"/>
      </w:pPr>
      <w:r>
        <w:rPr>
          <w:rStyle w:val="NormalTok"/>
        </w:rPr>
        <w:t xml:space="preserve">+1ANNN,nnn#MMM,mmm</w:t>
      </w:r>
    </w:p>
    <w:bookmarkEnd w:id="197"/>
    <w:bookmarkEnd w:id="198"/>
    <w:bookmarkStart w:id="201" w:name="Xcde00544090594866197ce0746a4e80499eb093"/>
    <w:p>
      <w:pPr>
        <w:pStyle w:val="Heading5"/>
      </w:pPr>
      <w:r>
        <w:t xml:space="preserve">&amp;uf(’+1G… - Исключение неоригинальных значений из группы переменных</w:t>
      </w:r>
    </w:p>
    <w:bookmarkStart w:id="199" w:name="назначение-39"/>
    <w:p>
      <w:pPr>
        <w:pStyle w:val="Heading6"/>
      </w:pPr>
      <w:r>
        <w:t xml:space="preserve">1. Назначение</w:t>
      </w:r>
    </w:p>
    <w:p>
      <w:pPr>
        <w:pStyle w:val="FirstParagraph"/>
      </w:pPr>
      <w:r>
        <w:t xml:space="preserve">Исключение неоригинальных значений из группы переменных</w:t>
      </w:r>
    </w:p>
    <w:bookmarkEnd w:id="199"/>
    <w:bookmarkStart w:id="200" w:name="формат-передаваемая-строка-39"/>
    <w:p>
      <w:pPr>
        <w:pStyle w:val="Heading6"/>
      </w:pPr>
      <w:r>
        <w:t xml:space="preserve">2. Формат (передаваемая строка)</w:t>
      </w:r>
    </w:p>
    <w:p>
      <w:pPr>
        <w:pStyle w:val="SourceCode"/>
      </w:pPr>
      <w:r>
        <w:rPr>
          <w:rStyle w:val="NormalTok"/>
        </w:rPr>
        <w:t xml:space="preserve">+1GNNN,nnn</w:t>
      </w:r>
    </w:p>
    <w:bookmarkEnd w:id="200"/>
    <w:bookmarkEnd w:id="201"/>
    <w:bookmarkStart w:id="204" w:name="Xd6e1a2fb6117545efaa3cd4e31800a424e8d937"/>
    <w:p>
      <w:pPr>
        <w:pStyle w:val="Heading5"/>
      </w:pPr>
      <w:r>
        <w:t xml:space="preserve">&amp;uf(’+1I… - Исключение неоригинальных значений из списка</w:t>
      </w:r>
    </w:p>
    <w:bookmarkStart w:id="202" w:name="назначение-40"/>
    <w:p>
      <w:pPr>
        <w:pStyle w:val="Heading6"/>
      </w:pPr>
      <w:r>
        <w:t xml:space="preserve">1. Назначение</w:t>
      </w:r>
    </w:p>
    <w:p>
      <w:pPr>
        <w:pStyle w:val="FirstParagraph"/>
      </w:pPr>
      <w:r>
        <w:t xml:space="preserve">Исключение неоригинальных значений из списка</w:t>
      </w:r>
    </w:p>
    <w:bookmarkEnd w:id="202"/>
    <w:bookmarkStart w:id="203" w:name="формат-передаваемая-строка-40"/>
    <w:p>
      <w:pPr>
        <w:pStyle w:val="Heading6"/>
      </w:pPr>
      <w:r>
        <w:t xml:space="preserve">2. Формат (передаваемая строка)</w:t>
      </w:r>
    </w:p>
    <w:p>
      <w:pPr>
        <w:pStyle w:val="SourceCode"/>
      </w:pPr>
      <w:r>
        <w:rPr>
          <w:rStyle w:val="NormalTok"/>
        </w:rPr>
        <w:t xml:space="preserve">+1ISSSS</w:t>
      </w:r>
    </w:p>
    <w:bookmarkEnd w:id="203"/>
    <w:bookmarkEnd w:id="204"/>
    <w:bookmarkStart w:id="208" w:name="X61e7dac07eb8eec54743cebb57b2388a2a02e42"/>
    <w:p>
      <w:pPr>
        <w:pStyle w:val="Heading5"/>
      </w:pPr>
      <w:r>
        <w:t xml:space="preserve">&amp;uf(’+1K… - Групповая мультираскодировка переменных</w:t>
      </w:r>
    </w:p>
    <w:bookmarkStart w:id="205" w:name="назначение-41"/>
    <w:p>
      <w:pPr>
        <w:pStyle w:val="Heading6"/>
      </w:pPr>
      <w:r>
        <w:t xml:space="preserve">1. Назначение</w:t>
      </w:r>
    </w:p>
    <w:p>
      <w:pPr>
        <w:pStyle w:val="FirstParagraph"/>
      </w:pPr>
      <w:r>
        <w:t xml:space="preserve">Групповая мультираскодировка переменных</w:t>
      </w:r>
    </w:p>
    <w:bookmarkEnd w:id="205"/>
    <w:bookmarkStart w:id="206" w:name="формат-передаваемая-строка-41"/>
    <w:p>
      <w:pPr>
        <w:pStyle w:val="Heading6"/>
      </w:pPr>
      <w:r>
        <w:t xml:space="preserve">2. Формат (передаваемая строка)</w:t>
      </w:r>
    </w:p>
    <w:p>
      <w:pPr>
        <w:pStyle w:val="SourceCode"/>
      </w:pPr>
      <w:r>
        <w:rPr>
          <w:rStyle w:val="NormalTok"/>
        </w:rPr>
        <w:t xml:space="preserve">+1K&lt;MNU&gt;|NNN,nnn</w:t>
      </w:r>
    </w:p>
    <w:p>
      <w:pPr>
        <w:pStyle w:val="FirstParagraph"/>
      </w:pPr>
      <w:r>
        <w:t xml:space="preserve">где:</w:t>
      </w:r>
      <w:r>
        <w:t xml:space="preserve"> </w:t>
      </w:r>
      <w:r>
        <w:t xml:space="preserve">* NNN – номер первой или единственной переменной;</w:t>
      </w:r>
      <w:r>
        <w:t xml:space="preserve"> </w:t>
      </w:r>
      <w:r>
        <w:t xml:space="preserve">* nnn – кол-во переменных (по умолчанию 1)</w:t>
      </w:r>
    </w:p>
    <w:bookmarkEnd w:id="206"/>
    <w:bookmarkStart w:id="207" w:name="пример-36"/>
    <w:p>
      <w:pPr>
        <w:pStyle w:val="Heading6"/>
      </w:pPr>
      <w:r>
        <w:t xml:space="preserve">3. Пример</w:t>
      </w:r>
    </w:p>
    <w:p>
      <w:pPr>
        <w:pStyle w:val="SourceCode"/>
      </w:pPr>
      <w:r>
        <w:rPr>
          <w:rStyle w:val="VerbatimChar"/>
        </w:rPr>
        <w:t xml:space="preserve">&amp;unifor('+1Kmhr.mnu|100,10')</w:t>
      </w:r>
    </w:p>
    <w:bookmarkEnd w:id="207"/>
    <w:bookmarkEnd w:id="208"/>
    <w:bookmarkStart w:id="211" w:name="X840372e1f7fed3c5652de279cd618796dfbd543"/>
    <w:p>
      <w:pPr>
        <w:pStyle w:val="Heading5"/>
      </w:pPr>
      <w:r>
        <w:t xml:space="preserve">&amp;uf(’+1M… - Перемножение двух списков (групп переменных)</w:t>
      </w:r>
    </w:p>
    <w:bookmarkStart w:id="209" w:name="назначение-42"/>
    <w:p>
      <w:pPr>
        <w:pStyle w:val="Heading6"/>
      </w:pPr>
      <w:r>
        <w:t xml:space="preserve">1. Назначение</w:t>
      </w:r>
    </w:p>
    <w:p>
      <w:pPr>
        <w:pStyle w:val="FirstParagraph"/>
      </w:pPr>
      <w:r>
        <w:t xml:space="preserve">Перемножение двух списков (групп переменных)</w:t>
      </w:r>
    </w:p>
    <w:bookmarkEnd w:id="209"/>
    <w:bookmarkStart w:id="210" w:name="формат-передаваемая-строка-42"/>
    <w:p>
      <w:pPr>
        <w:pStyle w:val="Heading6"/>
      </w:pPr>
      <w:r>
        <w:t xml:space="preserve">2. Формат (передаваемая строка)</w:t>
      </w:r>
    </w:p>
    <w:p>
      <w:pPr>
        <w:pStyle w:val="SourceCode"/>
      </w:pPr>
      <w:r>
        <w:rPr>
          <w:rStyle w:val="NormalTok"/>
        </w:rPr>
        <w:t xml:space="preserve">+1MNNN,nnn#MMM,mmm</w:t>
      </w:r>
    </w:p>
    <w:bookmarkEnd w:id="210"/>
    <w:bookmarkEnd w:id="211"/>
    <w:bookmarkStart w:id="215" w:name="Xdfd1e1f48f66fd7cd58ecd40581b52e0066f5e8"/>
    <w:p>
      <w:pPr>
        <w:pStyle w:val="Heading5"/>
      </w:pPr>
      <w:r>
        <w:t xml:space="preserve">&amp;uf(’+1O… - Групповая мультираскодировка списка</w:t>
      </w:r>
    </w:p>
    <w:bookmarkStart w:id="212" w:name="назначение-43"/>
    <w:p>
      <w:pPr>
        <w:pStyle w:val="Heading6"/>
      </w:pPr>
      <w:r>
        <w:t xml:space="preserve">1. Назначение</w:t>
      </w:r>
    </w:p>
    <w:p>
      <w:pPr>
        <w:pStyle w:val="FirstParagraph"/>
      </w:pPr>
      <w:r>
        <w:t xml:space="preserve">Групповая мультираскодировка списка</w:t>
      </w:r>
    </w:p>
    <w:bookmarkEnd w:id="212"/>
    <w:bookmarkStart w:id="213" w:name="формат-передаваемая-строка-43"/>
    <w:p>
      <w:pPr>
        <w:pStyle w:val="Heading6"/>
      </w:pPr>
      <w:r>
        <w:t xml:space="preserve">2. Формат (передаваемая строка)</w:t>
      </w:r>
    </w:p>
    <w:p>
      <w:pPr>
        <w:pStyle w:val="SourceCode"/>
      </w:pPr>
      <w:r>
        <w:rPr>
          <w:rStyle w:val="NormalTok"/>
        </w:rPr>
        <w:t xml:space="preserve">+1O&lt;MNU&gt;|SSSS</w:t>
      </w:r>
    </w:p>
    <w:p>
      <w:pPr>
        <w:pStyle w:val="FirstParagraph"/>
      </w:pPr>
      <w:r>
        <w:t xml:space="preserve">где:</w:t>
      </w:r>
      <w:r>
        <w:t xml:space="preserve"> </w:t>
      </w:r>
      <w:r>
        <w:t xml:space="preserve">* &lt;MNU&gt; имя справочника (с расширением);</w:t>
      </w:r>
      <w:r>
        <w:t xml:space="preserve"> </w:t>
      </w:r>
      <w:r>
        <w:t xml:space="preserve">* SSSS – список строк (результат расформатирования</w:t>
      </w:r>
    </w:p>
    <w:bookmarkEnd w:id="213"/>
    <w:bookmarkStart w:id="214" w:name="пример-37"/>
    <w:p>
      <w:pPr>
        <w:pStyle w:val="Heading6"/>
      </w:pPr>
      <w:r>
        <w:t xml:space="preserve">3. Пример</w:t>
      </w:r>
    </w:p>
    <w:p>
      <w:pPr>
        <w:pStyle w:val="SourceCode"/>
      </w:pPr>
      <w:r>
        <w:rPr>
          <w:rStyle w:val="VerbatimChar"/>
        </w:rPr>
        <w:t xml:space="preserve">&amp;unifor('+1Omhr.mnu|',(v910^m/))</w:t>
      </w:r>
    </w:p>
    <w:bookmarkEnd w:id="214"/>
    <w:bookmarkEnd w:id="215"/>
    <w:bookmarkStart w:id="219" w:name="uf1r---чтение-глобальных-переменных"/>
    <w:p>
      <w:pPr>
        <w:pStyle w:val="Heading5"/>
      </w:pPr>
      <w:r>
        <w:t xml:space="preserve">&amp;uf(’+1R… - Чтение глобальных переменных</w:t>
      </w:r>
    </w:p>
    <w:bookmarkStart w:id="216" w:name="назначение-44"/>
    <w:p>
      <w:pPr>
        <w:pStyle w:val="Heading6"/>
      </w:pPr>
      <w:r>
        <w:t xml:space="preserve">1. Назначение</w:t>
      </w:r>
    </w:p>
    <w:p>
      <w:pPr>
        <w:pStyle w:val="FirstParagraph"/>
      </w:pPr>
      <w:r>
        <w:t xml:space="preserve">Чтение глобальных переменных</w:t>
      </w:r>
    </w:p>
    <w:bookmarkEnd w:id="216"/>
    <w:bookmarkStart w:id="217" w:name="формат-передаваемая-строка-44"/>
    <w:p>
      <w:pPr>
        <w:pStyle w:val="Heading6"/>
      </w:pPr>
      <w:r>
        <w:t xml:space="preserve">2. Формат (передаваемая строка)</w:t>
      </w:r>
    </w:p>
    <w:p>
      <w:pPr>
        <w:pStyle w:val="SourceCode"/>
      </w:pPr>
      <w:r>
        <w:rPr>
          <w:rStyle w:val="NormalTok"/>
        </w:rPr>
        <w:t xml:space="preserve">+1RNNN,nnn</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nnn – кол-во переменных (по умолчанию 1)</w:t>
      </w:r>
    </w:p>
    <w:bookmarkEnd w:id="217"/>
    <w:bookmarkStart w:id="218" w:name="пример-38"/>
    <w:p>
      <w:pPr>
        <w:pStyle w:val="Heading6"/>
      </w:pPr>
      <w:r>
        <w:t xml:space="preserve">3. Пример</w:t>
      </w:r>
    </w:p>
    <w:p>
      <w:pPr>
        <w:pStyle w:val="SourceCode"/>
      </w:pPr>
      <w:r>
        <w:rPr>
          <w:rStyle w:val="VerbatimChar"/>
        </w:rPr>
        <w:t xml:space="preserve">&amp;unifor('+1R100,2')</w:t>
      </w:r>
    </w:p>
    <w:bookmarkEnd w:id="218"/>
    <w:bookmarkEnd w:id="219"/>
    <w:bookmarkStart w:id="222" w:name="Xa807914beb28302ee5f84cc8a34fa9c39bf0dcd"/>
    <w:p>
      <w:pPr>
        <w:pStyle w:val="Heading5"/>
      </w:pPr>
      <w:r>
        <w:t xml:space="preserve">&amp;uf(’+1S… - Вычитание списков (групп переменных)</w:t>
      </w:r>
    </w:p>
    <w:bookmarkStart w:id="220" w:name="назначение-45"/>
    <w:p>
      <w:pPr>
        <w:pStyle w:val="Heading6"/>
      </w:pPr>
      <w:r>
        <w:t xml:space="preserve">1. Назначение</w:t>
      </w:r>
    </w:p>
    <w:p>
      <w:pPr>
        <w:pStyle w:val="FirstParagraph"/>
      </w:pPr>
      <w:r>
        <w:t xml:space="preserve">Вычитание списков (групп переменных)</w:t>
      </w:r>
    </w:p>
    <w:bookmarkEnd w:id="220"/>
    <w:bookmarkStart w:id="221" w:name="формат-передаваемая-строка-45"/>
    <w:p>
      <w:pPr>
        <w:pStyle w:val="Heading6"/>
      </w:pPr>
      <w:r>
        <w:t xml:space="preserve">2. Формат (передаваемая строка)</w:t>
      </w:r>
    </w:p>
    <w:p>
      <w:pPr>
        <w:pStyle w:val="SourceCode"/>
      </w:pPr>
      <w:r>
        <w:rPr>
          <w:rStyle w:val="NormalTok"/>
        </w:rPr>
        <w:t xml:space="preserve">+1SNNN,nnn#MMM,mmm</w:t>
      </w:r>
    </w:p>
    <w:bookmarkEnd w:id="221"/>
    <w:bookmarkEnd w:id="222"/>
    <w:bookmarkStart w:id="225" w:name="uf1t---сортировка-группы-переменных"/>
    <w:p>
      <w:pPr>
        <w:pStyle w:val="Heading5"/>
      </w:pPr>
      <w:r>
        <w:t xml:space="preserve">&amp;uf(’+1T… - Сортировка группы переменных</w:t>
      </w:r>
    </w:p>
    <w:bookmarkStart w:id="223" w:name="назначение-46"/>
    <w:p>
      <w:pPr>
        <w:pStyle w:val="Heading6"/>
      </w:pPr>
      <w:r>
        <w:t xml:space="preserve">1. Назначение</w:t>
      </w:r>
    </w:p>
    <w:p>
      <w:pPr>
        <w:pStyle w:val="FirstParagraph"/>
      </w:pPr>
      <w:r>
        <w:t xml:space="preserve">Сортировка группы переменных</w:t>
      </w:r>
    </w:p>
    <w:bookmarkEnd w:id="223"/>
    <w:bookmarkStart w:id="224" w:name="формат-передаваемая-строка-46"/>
    <w:p>
      <w:pPr>
        <w:pStyle w:val="Heading6"/>
      </w:pPr>
      <w:r>
        <w:t xml:space="preserve">2. Формат (передаваемая строка)</w:t>
      </w:r>
    </w:p>
    <w:p>
      <w:pPr>
        <w:pStyle w:val="SourceCode"/>
      </w:pPr>
      <w:r>
        <w:rPr>
          <w:rStyle w:val="NormalTok"/>
        </w:rPr>
        <w:t xml:space="preserve">+1TNNN,nnn</w:t>
      </w:r>
    </w:p>
    <w:bookmarkEnd w:id="224"/>
    <w:bookmarkEnd w:id="225"/>
    <w:bookmarkStart w:id="228" w:name="uf1v---сортировка-списка"/>
    <w:p>
      <w:pPr>
        <w:pStyle w:val="Heading5"/>
      </w:pPr>
      <w:r>
        <w:t xml:space="preserve">&amp;uf(’+1V… - Сортировка списка</w:t>
      </w:r>
    </w:p>
    <w:bookmarkStart w:id="226" w:name="назначение-47"/>
    <w:p>
      <w:pPr>
        <w:pStyle w:val="Heading6"/>
      </w:pPr>
      <w:r>
        <w:t xml:space="preserve">1. Назначение</w:t>
      </w:r>
    </w:p>
    <w:p>
      <w:pPr>
        <w:pStyle w:val="FirstParagraph"/>
      </w:pPr>
      <w:r>
        <w:t xml:space="preserve">Сортировка списка</w:t>
      </w:r>
    </w:p>
    <w:bookmarkEnd w:id="226"/>
    <w:bookmarkStart w:id="227" w:name="формат-передаваемая-строка-47"/>
    <w:p>
      <w:pPr>
        <w:pStyle w:val="Heading6"/>
      </w:pPr>
      <w:r>
        <w:t xml:space="preserve">2. Формат (передаваемая строка)</w:t>
      </w:r>
    </w:p>
    <w:p>
      <w:pPr>
        <w:pStyle w:val="SourceCode"/>
      </w:pPr>
      <w:r>
        <w:rPr>
          <w:rStyle w:val="NormalTok"/>
        </w:rPr>
        <w:t xml:space="preserve">+1VSSSS</w:t>
      </w:r>
    </w:p>
    <w:bookmarkEnd w:id="227"/>
    <w:bookmarkEnd w:id="228"/>
    <w:bookmarkStart w:id="232" w:name="uf1w---запись-в-глобальные-переменные"/>
    <w:p>
      <w:pPr>
        <w:pStyle w:val="Heading5"/>
      </w:pPr>
      <w:r>
        <w:t xml:space="preserve">&amp;uf(’+1W… - Запись в глобальные переменные</w:t>
      </w:r>
    </w:p>
    <w:bookmarkStart w:id="229" w:name="назначение-48"/>
    <w:p>
      <w:pPr>
        <w:pStyle w:val="Heading6"/>
      </w:pPr>
      <w:r>
        <w:t xml:space="preserve">1. Назначение</w:t>
      </w:r>
    </w:p>
    <w:p>
      <w:pPr>
        <w:pStyle w:val="FirstParagraph"/>
      </w:pPr>
      <w:r>
        <w:t xml:space="preserve">Запись в глобальные переменные</w:t>
      </w:r>
    </w:p>
    <w:bookmarkEnd w:id="229"/>
    <w:bookmarkStart w:id="230" w:name="формат-передаваемая-строка-48"/>
    <w:p>
      <w:pPr>
        <w:pStyle w:val="Heading6"/>
      </w:pPr>
      <w:r>
        <w:t xml:space="preserve">2. Формат (передаваемая строка)</w:t>
      </w:r>
    </w:p>
    <w:p>
      <w:pPr>
        <w:pStyle w:val="SourceCode"/>
      </w:pPr>
      <w:r>
        <w:rPr>
          <w:rStyle w:val="NormalTok"/>
        </w:rPr>
        <w:t xml:space="preserve">+1WNNN,MMM#SSSS</w:t>
      </w:r>
    </w:p>
    <w:p>
      <w:pPr>
        <w:pStyle w:val="FirstParagraph"/>
      </w:pPr>
      <w:r>
        <w:t xml:space="preserve">где:</w:t>
      </w:r>
      <w:r>
        <w:t xml:space="preserve"> </w:t>
      </w:r>
      <w:r>
        <w:t xml:space="preserve">* NNN – номер первой или единственной переменной, возможна конструкция</w:t>
      </w:r>
      <w:r>
        <w:t xml:space="preserve"> </w:t>
      </w:r>
      <w:r>
        <w:rPr>
          <w:i/>
          <w:iCs/>
        </w:rPr>
        <w:t xml:space="preserve">+-</w:t>
      </w:r>
      <w:r>
        <w:rPr>
          <w:i/>
          <w:iCs/>
        </w:rPr>
        <w:t xml:space="preserve"> </w:t>
      </w:r>
      <w:r>
        <w:t xml:space="preserve"> </w:t>
      </w:r>
      <w:r>
        <w:t xml:space="preserve">* - номер текущего повторения в повторяющейся группе;</w:t>
      </w:r>
      <w:r>
        <w:t xml:space="preserve"> </w:t>
      </w:r>
      <w:r>
        <w:t xml:space="preserve">* MMM - номер переменной для сохранения кол-ва записанных переменных (по умолчанию не используется);</w:t>
      </w:r>
      <w:r>
        <w:t xml:space="preserve"> </w:t>
      </w:r>
      <w:r>
        <w:t xml:space="preserve">* SSSS - список строк (результат расформатирования). Если задан MMM – каждая строка пишется в отдельную переменную, в противном случае все пишется в одну переменную</w:t>
      </w:r>
    </w:p>
    <w:bookmarkEnd w:id="230"/>
    <w:bookmarkStart w:id="231" w:name="пример-39"/>
    <w:p>
      <w:pPr>
        <w:pStyle w:val="Heading6"/>
      </w:pPr>
      <w:r>
        <w:t xml:space="preserve">3. Пример</w:t>
      </w:r>
    </w:p>
    <w:p>
      <w:pPr>
        <w:pStyle w:val="SourceCode"/>
      </w:pPr>
      <w:r>
        <w:rPr>
          <w:rStyle w:val="VerbatimChar"/>
        </w:rPr>
        <w:t xml:space="preserve">&amp;unifor('+1W100,0#',(v910/))</w:t>
      </w:r>
    </w:p>
    <w:bookmarkEnd w:id="231"/>
    <w:bookmarkEnd w:id="232"/>
    <w:bookmarkStart w:id="236" w:name="uf2---выполнить-внешнее-приложение"/>
    <w:p>
      <w:pPr>
        <w:pStyle w:val="Heading5"/>
      </w:pPr>
      <w:r>
        <w:t xml:space="preserve">&amp;uf(’+2… - Выполнить внешнее приложение</w:t>
      </w:r>
    </w:p>
    <w:bookmarkStart w:id="233" w:name="назначение-49"/>
    <w:p>
      <w:pPr>
        <w:pStyle w:val="Heading6"/>
      </w:pPr>
      <w:r>
        <w:t xml:space="preserve">1. Назначение</w:t>
      </w:r>
    </w:p>
    <w:p>
      <w:pPr>
        <w:pStyle w:val="FirstParagraph"/>
      </w:pPr>
      <w:r>
        <w:t xml:space="preserve">Выполняет внешнее приложение. Всё, что после +2 – параметры командной строки.</w:t>
      </w:r>
    </w:p>
    <w:bookmarkEnd w:id="233"/>
    <w:bookmarkStart w:id="234" w:name="формат-передаваемая-строка-49"/>
    <w:p>
      <w:pPr>
        <w:pStyle w:val="Heading6"/>
      </w:pPr>
      <w:r>
        <w:t xml:space="preserve">2. Формат (передаваемая строка)</w:t>
      </w:r>
    </w:p>
    <w:p>
      <w:pPr>
        <w:pStyle w:val="SourceCode"/>
      </w:pPr>
      <w:r>
        <w:rPr>
          <w:rStyle w:val="NormalTok"/>
        </w:rPr>
        <w:t xml:space="preserve">+2&lt;cmd string&gt;</w:t>
      </w:r>
    </w:p>
    <w:p>
      <w:pPr>
        <w:pStyle w:val="FirstParagraph"/>
      </w:pPr>
      <w:r>
        <w:t xml:space="preserve">где:</w:t>
      </w:r>
      <w:r>
        <w:t xml:space="preserve"> </w:t>
      </w:r>
      <w:r>
        <w:t xml:space="preserve">* &lt;cmd string&gt; - командная строка для исполнения</w:t>
      </w:r>
    </w:p>
    <w:bookmarkEnd w:id="234"/>
    <w:bookmarkStart w:id="235" w:name="пример-40"/>
    <w:p>
      <w:pPr>
        <w:pStyle w:val="Heading6"/>
      </w:pPr>
      <w:r>
        <w:t xml:space="preserve">3. Пример</w:t>
      </w:r>
    </w:p>
    <w:p>
      <w:pPr>
        <w:pStyle w:val="SourceCode"/>
      </w:pPr>
      <w:r>
        <w:rPr>
          <w:rStyle w:val="VerbatimChar"/>
        </w:rPr>
        <w:t xml:space="preserve">&amp;unifor('+2cmd')</w:t>
      </w:r>
    </w:p>
    <w:bookmarkEnd w:id="235"/>
    <w:bookmarkEnd w:id="236"/>
    <w:bookmarkStart w:id="238" w:name="X26c08499727ebab194eac725e5bb5bbf1c59c7b"/>
    <w:p>
      <w:pPr>
        <w:pStyle w:val="Heading5"/>
      </w:pPr>
      <w:r>
        <w:t xml:space="preserve">&amp;uf(’+3C… - Функция для обрезания перед помещением в словарь БД значения, формируемого путём соединения префикса TXT= и содержимого подполя ^B ссылки на текстовый файл полнотекстовой базы</w:t>
      </w:r>
    </w:p>
    <w:bookmarkStart w:id="237" w:name="назначение-50"/>
    <w:p>
      <w:pPr>
        <w:pStyle w:val="Heading6"/>
      </w:pPr>
      <w:r>
        <w:t xml:space="preserve">1. Назначение</w:t>
      </w:r>
    </w:p>
    <w:p>
      <w:pPr>
        <w:pStyle w:val="FirstParagraph"/>
      </w:pPr>
      <w:r>
        <w:t xml:space="preserve">Функция предназначена для обрезания перед помещением в словарь базы данных значения, формируемого путём соединения префикса TXT= и содержимого подполя ^B ссылки на текстовый файл полнотекстовой базы.</w:t>
      </w:r>
    </w:p>
    <w:bookmarkEnd w:id="237"/>
    <w:bookmarkEnd w:id="238"/>
    <w:bookmarkStart w:id="241" w:name="uf3d---декодирование-данных-из-url"/>
    <w:p>
      <w:pPr>
        <w:pStyle w:val="Heading5"/>
      </w:pPr>
      <w:r>
        <w:t xml:space="preserve">&amp;uf(’+3D… - Декодирование данных из URL</w:t>
      </w:r>
    </w:p>
    <w:bookmarkStart w:id="239" w:name="назначение-51"/>
    <w:p>
      <w:pPr>
        <w:pStyle w:val="Heading6"/>
      </w:pPr>
      <w:r>
        <w:t xml:space="preserve">1. Назначение</w:t>
      </w:r>
    </w:p>
    <w:p>
      <w:pPr>
        <w:pStyle w:val="FirstParagraph"/>
      </w:pPr>
      <w:r>
        <w:t xml:space="preserve">Декодирование данных из URL</w:t>
      </w:r>
    </w:p>
    <w:bookmarkEnd w:id="239"/>
    <w:bookmarkStart w:id="240" w:name="формат-передаваемая-строка-50"/>
    <w:p>
      <w:pPr>
        <w:pStyle w:val="Heading6"/>
      </w:pPr>
      <w:r>
        <w:t xml:space="preserve">2. Формат (передаваемая строка)</w:t>
      </w:r>
    </w:p>
    <w:p>
      <w:pPr>
        <w:pStyle w:val="SourceCode"/>
      </w:pPr>
      <w:r>
        <w:rPr>
          <w:rStyle w:val="NormalTok"/>
        </w:rPr>
        <w:t xml:space="preserve">+3D&lt;данные&gt;</w:t>
      </w:r>
    </w:p>
    <w:bookmarkEnd w:id="240"/>
    <w:bookmarkEnd w:id="241"/>
    <w:bookmarkStart w:id="245" w:name="X8bba45208c390a5f1d000f83b289cbde6173fb4"/>
    <w:p>
      <w:pPr>
        <w:pStyle w:val="Heading5"/>
      </w:pPr>
      <w:r>
        <w:t xml:space="preserve">&amp;uf(’+3E… - Кодирование данных для представления в URL</w:t>
      </w:r>
    </w:p>
    <w:bookmarkStart w:id="242" w:name="назначение-52"/>
    <w:p>
      <w:pPr>
        <w:pStyle w:val="Heading6"/>
      </w:pPr>
      <w:r>
        <w:t xml:space="preserve">1. Назначение</w:t>
      </w:r>
    </w:p>
    <w:p>
      <w:pPr>
        <w:pStyle w:val="FirstParagraph"/>
      </w:pPr>
      <w:r>
        <w:t xml:space="preserve">Кодирование данных для представления в URL</w:t>
      </w:r>
    </w:p>
    <w:bookmarkEnd w:id="242"/>
    <w:bookmarkStart w:id="243" w:name="формат-передаваемая-строка-51"/>
    <w:p>
      <w:pPr>
        <w:pStyle w:val="Heading6"/>
      </w:pPr>
      <w:r>
        <w:t xml:space="preserve">2. Формат (передаваемая строка)</w:t>
      </w:r>
    </w:p>
    <w:p>
      <w:pPr>
        <w:pStyle w:val="SourceCode"/>
      </w:pPr>
      <w:r>
        <w:rPr>
          <w:rStyle w:val="NormalTok"/>
        </w:rPr>
        <w:t xml:space="preserve">+3E&lt;данные&gt;</w:t>
      </w:r>
    </w:p>
    <w:bookmarkEnd w:id="243"/>
    <w:bookmarkStart w:id="244" w:name="пример-41"/>
    <w:p>
      <w:pPr>
        <w:pStyle w:val="Heading6"/>
      </w:pPr>
      <w:r>
        <w:t xml:space="preserve">3. Пример</w:t>
      </w:r>
    </w:p>
    <w:p>
      <w:pPr>
        <w:pStyle w:val="SourceCode"/>
      </w:pPr>
      <w:r>
        <w:rPr>
          <w:rStyle w:val="VerbatimChar"/>
        </w:rPr>
        <w:t xml:space="preserve">&amp;unifor('+3E',v1007)</w:t>
      </w:r>
    </w:p>
    <w:bookmarkEnd w:id="244"/>
    <w:bookmarkEnd w:id="245"/>
    <w:bookmarkStart w:id="248" w:name="X87e34127d74ae97d5f2f85efd4ed0317b2aab23"/>
    <w:p>
      <w:pPr>
        <w:pStyle w:val="Heading5"/>
      </w:pPr>
      <w:r>
        <w:t xml:space="preserve">&amp;uf(’+3G… - Вывод количества документов, найденных во внешней базе по команде G</w:t>
      </w:r>
    </w:p>
    <w:bookmarkStart w:id="246" w:name="назначение-53"/>
    <w:p>
      <w:pPr>
        <w:pStyle w:val="Heading6"/>
      </w:pPr>
      <w:r>
        <w:t xml:space="preserve">1. Назначение</w:t>
      </w:r>
    </w:p>
    <w:p>
      <w:pPr>
        <w:pStyle w:val="FirstParagraph"/>
      </w:pPr>
      <w:r>
        <w:t xml:space="preserve">Вывод количества документов, найденных во внешней базе по команде G. Команда возвращает строку RESULT=[кол-во найденных по запросу документов]</w:t>
      </w:r>
    </w:p>
    <w:bookmarkEnd w:id="246"/>
    <w:bookmarkStart w:id="247" w:name="формат-передаваемая-строка-52"/>
    <w:p>
      <w:pPr>
        <w:pStyle w:val="Heading6"/>
      </w:pPr>
      <w:r>
        <w:t xml:space="preserve">2. Формат (передаваемая строка)</w:t>
      </w:r>
    </w:p>
    <w:p>
      <w:pPr>
        <w:pStyle w:val="SourceCode"/>
      </w:pPr>
      <w:r>
        <w:rPr>
          <w:rStyle w:val="NormalTok"/>
        </w:rPr>
        <w:t xml:space="preserve">+3G[URL к внешнему сайту WEB ИРБИС, с запросом G]</w:t>
      </w:r>
    </w:p>
    <w:bookmarkEnd w:id="247"/>
    <w:bookmarkEnd w:id="248"/>
    <w:bookmarkStart w:id="251" w:name="X9a29ebdfb447ec3a9ae8d80e719a7d03636c1e5"/>
    <w:p>
      <w:pPr>
        <w:pStyle w:val="Heading5"/>
      </w:pPr>
      <w:r>
        <w:t xml:space="preserve">&amp;uf(’+3S… - Расформатирует найденные по запросу записи.</w:t>
      </w:r>
    </w:p>
    <w:bookmarkStart w:id="249" w:name="назначение-54"/>
    <w:p>
      <w:pPr>
        <w:pStyle w:val="Heading6"/>
      </w:pPr>
      <w:r>
        <w:t xml:space="preserve">1. Назначение</w:t>
      </w:r>
    </w:p>
    <w:p>
      <w:pPr>
        <w:pStyle w:val="FirstParagraph"/>
      </w:pPr>
      <w:r>
        <w:t xml:space="preserve">Расформатирует найденные по запросу записи. Если [количество выводимых записей]=0, то возвращает только количество найденных по запросу документов</w:t>
      </w:r>
    </w:p>
    <w:bookmarkEnd w:id="249"/>
    <w:bookmarkStart w:id="250" w:name="формат-передаваемая-строка-53"/>
    <w:p>
      <w:pPr>
        <w:pStyle w:val="Heading6"/>
      </w:pPr>
      <w:r>
        <w:t xml:space="preserve">2. Формат (передаваемая строка)</w:t>
      </w:r>
    </w:p>
    <w:p>
      <w:pPr>
        <w:pStyle w:val="SourceCode"/>
      </w:pPr>
      <w:r>
        <w:rPr>
          <w:rStyle w:val="NormalTok"/>
        </w:rPr>
        <w:t xml:space="preserve">+3S[имя базы],[количество выводимых записей],[ограничитель][формат][ограничитель],[формат или @имя файла с форматом]</w:t>
      </w:r>
    </w:p>
    <w:bookmarkEnd w:id="250"/>
    <w:bookmarkEnd w:id="251"/>
    <w:bookmarkStart w:id="255" w:name="Xa88100140652744a0940094961746f8ad012e8d"/>
    <w:p>
      <w:pPr>
        <w:pStyle w:val="Heading5"/>
      </w:pPr>
      <w:r>
        <w:t xml:space="preserve">&amp;uf(’+3U… - Исключенный юнифор перекодирования</w:t>
      </w:r>
    </w:p>
    <w:bookmarkStart w:id="252" w:name="назначение-55"/>
    <w:p>
      <w:pPr>
        <w:pStyle w:val="Heading6"/>
      </w:pPr>
      <w:r>
        <w:t xml:space="preserve">1. Назначение</w:t>
      </w:r>
    </w:p>
    <w:p>
      <w:pPr>
        <w:pStyle w:val="FirstParagraph"/>
      </w:pPr>
      <w:r>
        <w:t xml:space="preserve">Ранее</w:t>
      </w:r>
      <w:r>
        <w:t xml:space="preserve"> </w:t>
      </w:r>
      <w:r>
        <w:rPr>
          <w:rStyle w:val="VerbatimChar"/>
        </w:rPr>
        <w:t xml:space="preserve">+3U</w:t>
      </w:r>
      <w:r>
        <w:t xml:space="preserve"> </w:t>
      </w:r>
      <w:r>
        <w:t xml:space="preserve">описывался как юнифор для перекодирования строки из Windows-1251 в UTF-8.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+3U</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2"/>
    <w:bookmarkStart w:id="253" w:name="формат-передаваемая-строка-54"/>
    <w:p>
      <w:pPr>
        <w:pStyle w:val="Heading6"/>
      </w:pPr>
      <w:r>
        <w:t xml:space="preserve">2. Формат (передаваемая строка)</w:t>
      </w:r>
    </w:p>
    <w:p>
      <w:pPr>
        <w:pStyle w:val="SourceCode"/>
      </w:pPr>
      <w:r>
        <w:rPr>
          <w:rStyle w:val="NormalTok"/>
        </w:rPr>
        <w:t xml:space="preserve">+3U&lt;данные&gt;</w:t>
      </w:r>
    </w:p>
    <w:bookmarkEnd w:id="253"/>
    <w:bookmarkStart w:id="254" w:name="результат"/>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4"/>
    <w:bookmarkEnd w:id="255"/>
    <w:bookmarkStart w:id="259" w:name="Xaa77bf8990dfd707b044585077ce5fccda43d94"/>
    <w:p>
      <w:pPr>
        <w:pStyle w:val="Heading5"/>
      </w:pPr>
      <w:r>
        <w:t xml:space="preserve">&amp;uf(’+3W… - Исключенный юнифор перекодирования</w:t>
      </w:r>
    </w:p>
    <w:bookmarkStart w:id="256" w:name="назначение-56"/>
    <w:p>
      <w:pPr>
        <w:pStyle w:val="Heading6"/>
      </w:pPr>
      <w:r>
        <w:t xml:space="preserve">1. Назначение</w:t>
      </w:r>
    </w:p>
    <w:p>
      <w:pPr>
        <w:pStyle w:val="FirstParagraph"/>
      </w:pPr>
      <w:r>
        <w:t xml:space="preserve">Ранее</w:t>
      </w:r>
      <w:r>
        <w:t xml:space="preserve"> </w:t>
      </w:r>
      <w:r>
        <w:rPr>
          <w:rStyle w:val="VerbatimChar"/>
        </w:rPr>
        <w:t xml:space="preserve">+3W</w:t>
      </w:r>
      <w:r>
        <w:t xml:space="preserve"> </w:t>
      </w:r>
      <w:r>
        <w:t xml:space="preserve">описывался как юнифор для перекодирования строки из UTF-8 в Windows-1251. В актуальном форматере это перекодирование исключено: юнифор возвращает переданные данные без изменений.</w:t>
      </w:r>
    </w:p>
    <w:p>
      <w:pPr>
        <w:pStyle w:val="BodyText"/>
      </w:pPr>
      <w:r>
        <w:t xml:space="preserve">Не используйте</w:t>
      </w:r>
      <w:r>
        <w:t xml:space="preserve"> </w:t>
      </w:r>
      <w:r>
        <w:rPr>
          <w:rStyle w:val="VerbatimChar"/>
        </w:rPr>
        <w:t xml:space="preserve">+3W</w:t>
      </w:r>
      <w:r>
        <w:t xml:space="preserve"> </w:t>
      </w:r>
      <w:r>
        <w:t xml:space="preserve">для преобразования кодировки. Вывод форматов, включая результат</w:t>
      </w:r>
      <w:r>
        <w:t xml:space="preserve"> </w:t>
      </w:r>
      <w:r>
        <w:rPr>
          <w:rStyle w:val="VerbatimChar"/>
        </w:rPr>
        <w:t xml:space="preserve">UNIFOR</w:t>
      </w:r>
      <w:r>
        <w:t xml:space="preserve">, должен рассматриваться как UTF-8.</w:t>
      </w:r>
    </w:p>
    <w:bookmarkEnd w:id="256"/>
    <w:bookmarkStart w:id="257" w:name="формат-передаваемая-строка-55"/>
    <w:p>
      <w:pPr>
        <w:pStyle w:val="Heading6"/>
      </w:pPr>
      <w:r>
        <w:t xml:space="preserve">2. Формат (передаваемая строка)</w:t>
      </w:r>
    </w:p>
    <w:p>
      <w:pPr>
        <w:pStyle w:val="SourceCode"/>
      </w:pPr>
      <w:r>
        <w:rPr>
          <w:rStyle w:val="NormalTok"/>
        </w:rPr>
        <w:t xml:space="preserve">+3W&lt;данные&gt;</w:t>
      </w:r>
    </w:p>
    <w:bookmarkEnd w:id="257"/>
    <w:bookmarkStart w:id="258" w:name="результат-1"/>
    <w:p>
      <w:pPr>
        <w:pStyle w:val="Heading6"/>
      </w:pPr>
      <w:r>
        <w:t xml:space="preserve">3. Результат</w:t>
      </w:r>
    </w:p>
    <w:p>
      <w:pPr>
        <w:pStyle w:val="FirstParagraph"/>
      </w:pPr>
      <w:r>
        <w:t xml:space="preserve">Возвращается строка</w:t>
      </w:r>
      <w:r>
        <w:t xml:space="preserve"> </w:t>
      </w:r>
      <w:r>
        <w:rPr>
          <w:rStyle w:val="VerbatimChar"/>
        </w:rPr>
        <w:t xml:space="preserve">&lt;данные&gt;</w:t>
      </w:r>
      <w:r>
        <w:t xml:space="preserve"> </w:t>
      </w:r>
      <w:r>
        <w:t xml:space="preserve">без перекодирования.</w:t>
      </w:r>
    </w:p>
    <w:bookmarkEnd w:id="258"/>
    <w:bookmarkEnd w:id="259"/>
    <w:bookmarkStart w:id="262" w:name="uf3---перевод-знака-в-2b"/>
    <w:p>
      <w:pPr>
        <w:pStyle w:val="Heading5"/>
      </w:pPr>
      <w:r>
        <w:t xml:space="preserve">&amp;uf(’+3+… - Перевод знака + в %2B</w:t>
      </w:r>
    </w:p>
    <w:bookmarkStart w:id="260" w:name="назначение-57"/>
    <w:p>
      <w:pPr>
        <w:pStyle w:val="Heading6"/>
      </w:pPr>
      <w:r>
        <w:t xml:space="preserve">1. Назначение</w:t>
      </w:r>
    </w:p>
    <w:p>
      <w:pPr>
        <w:pStyle w:val="FirstParagraph"/>
      </w:pPr>
      <w:r>
        <w:t xml:space="preserve">Перевод знака + в %2B</w:t>
      </w:r>
    </w:p>
    <w:bookmarkEnd w:id="260"/>
    <w:bookmarkStart w:id="261" w:name="формат-передаваемая-строка-56"/>
    <w:p>
      <w:pPr>
        <w:pStyle w:val="Heading6"/>
      </w:pPr>
      <w:r>
        <w:t xml:space="preserve">2. Формат (передаваемая строка)</w:t>
      </w:r>
    </w:p>
    <w:p>
      <w:pPr>
        <w:pStyle w:val="SourceCode"/>
      </w:pPr>
      <w:r>
        <w:rPr>
          <w:rStyle w:val="NormalTok"/>
        </w:rPr>
        <w:t xml:space="preserve">+3+&lt;данные&gt;</w:t>
      </w:r>
    </w:p>
    <w:bookmarkEnd w:id="261"/>
    <w:bookmarkEnd w:id="262"/>
    <w:bookmarkStart w:id="266" w:name="X50ea784be1dcafd7db3a33206b33cce5fd4b183"/>
    <w:p>
      <w:pPr>
        <w:pStyle w:val="Heading5"/>
      </w:pPr>
      <w:r>
        <w:t xml:space="preserve">&amp;uf(’+4… - Выдача метки, порядкового номера и значения поля в соответствии с индексом (номером повторения) повторяющейся группы</w:t>
      </w:r>
    </w:p>
    <w:bookmarkStart w:id="263" w:name="назначение-58"/>
    <w:p>
      <w:pPr>
        <w:pStyle w:val="Heading6"/>
      </w:pPr>
      <w:r>
        <w:t xml:space="preserve">1. Назначение</w:t>
      </w:r>
    </w:p>
    <w:p>
      <w:pPr>
        <w:pStyle w:val="FirstParagraph"/>
      </w:pPr>
      <w:r>
        <w:t xml:space="preserve">Выдача метки, порядкового номера и значения поля в соответствии с индексом (номером повторения) повторяющейся группы</w:t>
      </w:r>
    </w:p>
    <w:bookmarkEnd w:id="263"/>
    <w:bookmarkStart w:id="264" w:name="формат-передаваемая-строка-57"/>
    <w:p>
      <w:pPr>
        <w:pStyle w:val="Heading6"/>
      </w:pPr>
      <w:r>
        <w:t xml:space="preserve">2. Формат (передаваемая строка)</w:t>
      </w:r>
    </w:p>
    <w:p>
      <w:pPr>
        <w:pStyle w:val="SourceCode"/>
      </w:pPr>
      <w:r>
        <w:rPr>
          <w:rStyle w:val="NormalTok"/>
        </w:rPr>
        <w:t xml:space="preserve">+4XY </w:t>
      </w:r>
    </w:p>
    <w:p>
      <w:pPr>
        <w:pStyle w:val="FirstParagraph"/>
      </w:pPr>
      <w:r>
        <w:t xml:space="preserve">где</w:t>
      </w:r>
      <w:r>
        <w:t xml:space="preserve"> </w:t>
      </w:r>
      <w:r>
        <w:t xml:space="preserve">* Х принимает три значения:</w:t>
      </w:r>
      <w:r>
        <w:t xml:space="preserve"> </w:t>
      </w:r>
      <w:r>
        <w:t xml:space="preserve">* T – выдать метку;</w:t>
      </w:r>
      <w:r>
        <w:t xml:space="preserve"> </w:t>
      </w:r>
      <w:r>
        <w:t xml:space="preserve">* F – выдать значение поле;</w:t>
      </w:r>
      <w:r>
        <w:t xml:space="preserve"> </w:t>
      </w:r>
      <w:r>
        <w:t xml:space="preserve">* N – выдать порядковый номер поля в записи (отличается от индекса повторения, если Y принимает значение 1);</w:t>
      </w:r>
      <w:r>
        <w:t xml:space="preserve"> </w:t>
      </w:r>
      <w:r>
        <w:t xml:space="preserve">* Y принимает значения:</w:t>
      </w:r>
      <w:r>
        <w:t xml:space="preserve"> </w:t>
      </w:r>
      <w:r>
        <w:t xml:space="preserve">* 0 – поля выдаются в порядке расположения в записи;</w:t>
      </w:r>
      <w:r>
        <w:t xml:space="preserve"> </w:t>
      </w:r>
      <w:r>
        <w:t xml:space="preserve">* 1 – поля выдаются в порядке возрастания меток (по умолчанию 0)</w:t>
      </w:r>
    </w:p>
    <w:bookmarkEnd w:id="264"/>
    <w:bookmarkStart w:id="265" w:name="пример-42"/>
    <w:p>
      <w:pPr>
        <w:pStyle w:val="Heading6"/>
      </w:pPr>
      <w:r>
        <w:t xml:space="preserve">3. Пример</w:t>
      </w:r>
    </w:p>
    <w:p>
      <w:pPr>
        <w:pStyle w:val="SourceCode"/>
      </w:pPr>
      <w:r>
        <w:rPr>
          <w:rStyle w:val="VerbatimChar"/>
        </w:rPr>
        <w:t xml:space="preserve">(&amp;unifor('+4T1'),'_' &amp;unifor('+4N1'),': ', &amp;unifor('+4F1'),'&lt;br&gt;')</w:t>
      </w:r>
    </w:p>
    <w:bookmarkEnd w:id="265"/>
    <w:bookmarkEnd w:id="266"/>
    <w:bookmarkStart w:id="270" w:name="X6839f438e19dda3cd0d3692b7f507a7ebbf659c"/>
    <w:p>
      <w:pPr>
        <w:pStyle w:val="Heading5"/>
      </w:pPr>
      <w:r>
        <w:t xml:space="preserve">&amp;uf(’+5… - Выдача элемента списка/справочника в соответствии с индексом (номером повторения) повторяющейся группы</w:t>
      </w:r>
    </w:p>
    <w:bookmarkStart w:id="267" w:name="назначение-59"/>
    <w:p>
      <w:pPr>
        <w:pStyle w:val="Heading6"/>
      </w:pPr>
      <w:r>
        <w:t xml:space="preserve">1. Назначение</w:t>
      </w:r>
    </w:p>
    <w:p>
      <w:pPr>
        <w:pStyle w:val="FirstParagraph"/>
      </w:pPr>
      <w:r>
        <w:t xml:space="preserve">Выдача элемента списка/справочника в соответствии с индексом (номером повторения) повторяющейся группы</w:t>
      </w:r>
    </w:p>
    <w:bookmarkEnd w:id="267"/>
    <w:bookmarkStart w:id="268" w:name="формат-передаваемая-строка-58"/>
    <w:p>
      <w:pPr>
        <w:pStyle w:val="Heading6"/>
      </w:pPr>
      <w:r>
        <w:t xml:space="preserve">2. Формат (передаваемая строка)</w:t>
      </w:r>
    </w:p>
    <w:p>
      <w:pPr>
        <w:pStyle w:val="SourceCode"/>
      </w:pPr>
      <w:r>
        <w:rPr>
          <w:rStyle w:val="NormalTok"/>
        </w:rPr>
        <w:t xml:space="preserve">+5Х&lt;имя_справочника/списка&gt; </w:t>
      </w:r>
    </w:p>
    <w:p>
      <w:pPr>
        <w:pStyle w:val="FirstParagraph"/>
      </w:pPr>
      <w:r>
        <w:t xml:space="preserve">где:</w:t>
      </w:r>
      <w:r>
        <w:t xml:space="preserve"> </w:t>
      </w:r>
      <w:r>
        <w:t xml:space="preserve">* Х принимает значения:</w:t>
      </w:r>
      <w:r>
        <w:t xml:space="preserve"> </w:t>
      </w:r>
      <w:r>
        <w:t xml:space="preserve">* Т – выдать значение;</w:t>
      </w:r>
      <w:r>
        <w:t xml:space="preserve"> </w:t>
      </w:r>
      <w:r>
        <w:t xml:space="preserve">* F – выдать пояснение (имеет смысл, если задается справочник, т.е. файл с расширением MNU)</w:t>
      </w:r>
    </w:p>
    <w:bookmarkEnd w:id="268"/>
    <w:bookmarkStart w:id="269" w:name="пример-43"/>
    <w:p>
      <w:pPr>
        <w:pStyle w:val="Heading6"/>
      </w:pPr>
      <w:r>
        <w:t xml:space="preserve">3. Пример</w:t>
      </w:r>
    </w:p>
    <w:p>
      <w:pPr>
        <w:pStyle w:val="SourceCode"/>
      </w:pPr>
      <w:r>
        <w:rPr>
          <w:rStyle w:val="VerbatimChar"/>
        </w:rPr>
        <w:t xml:space="preserve">(&amp;unifor('+5Tfield.mnu'),' - ',&amp;unifor('+5Ffield.mnu'),'&lt;br&gt;')</w:t>
      </w:r>
    </w:p>
    <w:bookmarkEnd w:id="269"/>
    <w:bookmarkEnd w:id="270"/>
    <w:bookmarkStart w:id="274" w:name="uf6---выдать-статус-записи"/>
    <w:p>
      <w:pPr>
        <w:pStyle w:val="Heading5"/>
      </w:pPr>
      <w:r>
        <w:t xml:space="preserve">&amp;uf(’+6… - Выдать статус записи</w:t>
      </w:r>
    </w:p>
    <w:bookmarkStart w:id="271" w:name="назначение-60"/>
    <w:p>
      <w:pPr>
        <w:pStyle w:val="Heading6"/>
      </w:pPr>
      <w:r>
        <w:t xml:space="preserve">1. Назначение</w:t>
      </w:r>
    </w:p>
    <w:p>
      <w:pPr>
        <w:pStyle w:val="FirstParagraph"/>
      </w:pPr>
      <w:r>
        <w:t xml:space="preserve">Выдать статус записи. Если запись логически удаленная, возвращается 0, в противном случае - 1</w:t>
      </w:r>
    </w:p>
    <w:bookmarkEnd w:id="271"/>
    <w:bookmarkStart w:id="272" w:name="формат-передаваемая-строка-59"/>
    <w:p>
      <w:pPr>
        <w:pStyle w:val="Heading6"/>
      </w:pPr>
      <w:r>
        <w:t xml:space="preserve">2. Формат (передаваемая строка)</w:t>
      </w:r>
    </w:p>
    <w:p>
      <w:pPr>
        <w:pStyle w:val="SourceCode"/>
      </w:pPr>
      <w:r>
        <w:rPr>
          <w:rStyle w:val="NormalTok"/>
        </w:rPr>
        <w:t xml:space="preserve">+6</w:t>
      </w:r>
    </w:p>
    <w:bookmarkEnd w:id="272"/>
    <w:bookmarkStart w:id="273" w:name="пример-44"/>
    <w:p>
      <w:pPr>
        <w:pStyle w:val="Heading6"/>
      </w:pPr>
      <w:r>
        <w:t xml:space="preserve">3. Пример</w:t>
      </w:r>
    </w:p>
    <w:p>
      <w:pPr>
        <w:pStyle w:val="SourceCode"/>
      </w:pPr>
      <w:r>
        <w:rPr>
          <w:rStyle w:val="VerbatimChar"/>
        </w:rPr>
        <w:t xml:space="preserve">if &amp;unifor('+6')='0' then 'запись логически удаленная' fi</w:t>
      </w:r>
    </w:p>
    <w:bookmarkEnd w:id="273"/>
    <w:bookmarkEnd w:id="274"/>
    <w:bookmarkStart w:id="278" w:name="X7d6eccca5b02a3ab9d73e1f02b85a6f2c1efc13"/>
    <w:p>
      <w:pPr>
        <w:pStyle w:val="Heading5"/>
      </w:pPr>
      <w:r>
        <w:t xml:space="preserve">&amp;uf(’+7… - Очистить (опустошить) все глобальные переменные</w:t>
      </w:r>
    </w:p>
    <w:bookmarkStart w:id="275" w:name="назначение-61"/>
    <w:p>
      <w:pPr>
        <w:pStyle w:val="Heading6"/>
      </w:pPr>
      <w:r>
        <w:t xml:space="preserve">1. Назначение</w:t>
      </w:r>
    </w:p>
    <w:p>
      <w:pPr>
        <w:pStyle w:val="FirstParagraph"/>
      </w:pPr>
      <w:r>
        <w:t xml:space="preserve">Очистить (опустошить) все глобальные переменные</w:t>
      </w:r>
    </w:p>
    <w:bookmarkEnd w:id="275"/>
    <w:bookmarkStart w:id="276" w:name="формат-передаваемая-строка-60"/>
    <w:p>
      <w:pPr>
        <w:pStyle w:val="Heading6"/>
      </w:pPr>
      <w:r>
        <w:t xml:space="preserve">2. Формат (передаваемая строка)</w:t>
      </w:r>
    </w:p>
    <w:p>
      <w:pPr>
        <w:pStyle w:val="SourceCode"/>
      </w:pPr>
      <w:r>
        <w:rPr>
          <w:rStyle w:val="NormalTok"/>
        </w:rPr>
        <w:t xml:space="preserve">+7</w:t>
      </w:r>
    </w:p>
    <w:bookmarkEnd w:id="276"/>
    <w:bookmarkStart w:id="277" w:name="пример-45"/>
    <w:p>
      <w:pPr>
        <w:pStyle w:val="Heading6"/>
      </w:pPr>
      <w:r>
        <w:t xml:space="preserve">3. Пример</w:t>
      </w:r>
    </w:p>
    <w:p>
      <w:pPr>
        <w:pStyle w:val="SourceCode"/>
      </w:pPr>
      <w:r>
        <w:rPr>
          <w:rStyle w:val="VerbatimChar"/>
        </w:rPr>
        <w:t xml:space="preserve">&amp;unifor('+7')</w:t>
      </w:r>
    </w:p>
    <w:bookmarkEnd w:id="277"/>
    <w:bookmarkEnd w:id="278"/>
    <w:bookmarkStart w:id="281" w:name="Xbba1abcb6ba743d36f1f4485ddbcc27ac70598f"/>
    <w:p>
      <w:pPr>
        <w:pStyle w:val="Heading5"/>
      </w:pPr>
      <w:r>
        <w:t xml:space="preserve">&amp;uf(’+7A… - Логическое сложение повторений двух переменных</w:t>
      </w:r>
    </w:p>
    <w:bookmarkStart w:id="279" w:name="назначение-62"/>
    <w:p>
      <w:pPr>
        <w:pStyle w:val="Heading6"/>
      </w:pPr>
      <w:r>
        <w:t xml:space="preserve">1. Назначение</w:t>
      </w:r>
    </w:p>
    <w:p>
      <w:pPr>
        <w:pStyle w:val="FirstParagraph"/>
      </w:pPr>
      <w:r>
        <w:t xml:space="preserve">Логическое сложение повторений двух переменных</w:t>
      </w:r>
    </w:p>
    <w:bookmarkEnd w:id="279"/>
    <w:bookmarkStart w:id="280" w:name="формат-передаваемая-строка-61"/>
    <w:p>
      <w:pPr>
        <w:pStyle w:val="Heading6"/>
      </w:pPr>
      <w:r>
        <w:t xml:space="preserve">2. Формат (передаваемая строка)</w:t>
      </w:r>
    </w:p>
    <w:p>
      <w:pPr>
        <w:pStyle w:val="SourceCode"/>
      </w:pPr>
      <w:r>
        <w:rPr>
          <w:rStyle w:val="NormalTok"/>
        </w:rPr>
        <w:t xml:space="preserve">+7ANNN#MMM</w:t>
      </w:r>
    </w:p>
    <w:p>
      <w:pPr>
        <w:pStyle w:val="FirstParagraph"/>
      </w:pPr>
      <w:r>
        <w:t xml:space="preserve">Результат сложения записывается в первую переменную</w:t>
      </w:r>
    </w:p>
    <w:bookmarkEnd w:id="280"/>
    <w:bookmarkEnd w:id="281"/>
    <w:bookmarkStart w:id="284" w:name="X12e15ba317c57351f4ade6daa48357b958da6a9"/>
    <w:p>
      <w:pPr>
        <w:pStyle w:val="Heading5"/>
      </w:pPr>
      <w:r>
        <w:t xml:space="preserve">&amp;uf(’+7G… - Исключение неоригинальных повторений переменной</w:t>
      </w:r>
    </w:p>
    <w:bookmarkStart w:id="282" w:name="назначение-63"/>
    <w:p>
      <w:pPr>
        <w:pStyle w:val="Heading6"/>
      </w:pPr>
      <w:r>
        <w:t xml:space="preserve">1. Назначение</w:t>
      </w:r>
    </w:p>
    <w:p>
      <w:pPr>
        <w:pStyle w:val="FirstParagraph"/>
      </w:pPr>
      <w:r>
        <w:t xml:space="preserve">Исключение неоригинальных повторений переменной</w:t>
      </w:r>
    </w:p>
    <w:bookmarkEnd w:id="282"/>
    <w:bookmarkStart w:id="283" w:name="формат-передаваемая-строка-62"/>
    <w:p>
      <w:pPr>
        <w:pStyle w:val="Heading6"/>
      </w:pPr>
      <w:r>
        <w:t xml:space="preserve">2. Формат (передаваемая строка)</w:t>
      </w:r>
    </w:p>
    <w:p>
      <w:pPr>
        <w:pStyle w:val="SourceCode"/>
      </w:pPr>
      <w:r>
        <w:rPr>
          <w:rStyle w:val="NormalTok"/>
        </w:rPr>
        <w:t xml:space="preserve">+7GNNN</w:t>
      </w:r>
    </w:p>
    <w:p>
      <w:pPr>
        <w:pStyle w:val="FirstParagraph"/>
      </w:pPr>
      <w:r>
        <w:t xml:space="preserve">Результат исключения записывается в ту же переменную</w:t>
      </w:r>
    </w:p>
    <w:bookmarkEnd w:id="283"/>
    <w:bookmarkEnd w:id="284"/>
    <w:bookmarkStart w:id="287" w:name="X95662e4eac88c54336fe6cae43d1d35199d4816"/>
    <w:p>
      <w:pPr>
        <w:pStyle w:val="Heading5"/>
      </w:pPr>
      <w:r>
        <w:t xml:space="preserve">&amp;uf(’+7M… - Логическое перемножение повторений двух переменных</w:t>
      </w:r>
    </w:p>
    <w:bookmarkStart w:id="285" w:name="назначение-64"/>
    <w:p>
      <w:pPr>
        <w:pStyle w:val="Heading6"/>
      </w:pPr>
      <w:r>
        <w:t xml:space="preserve">1. Назначение</w:t>
      </w:r>
    </w:p>
    <w:p>
      <w:pPr>
        <w:pStyle w:val="FirstParagraph"/>
      </w:pPr>
      <w:r>
        <w:t xml:space="preserve">Логическое перемножение повторений двух переменных</w:t>
      </w:r>
    </w:p>
    <w:bookmarkEnd w:id="285"/>
    <w:bookmarkStart w:id="286" w:name="формат-передаваемая-строка-63"/>
    <w:p>
      <w:pPr>
        <w:pStyle w:val="Heading6"/>
      </w:pPr>
      <w:r>
        <w:t xml:space="preserve">2. Формат (передаваемая строка)</w:t>
      </w:r>
    </w:p>
    <w:p>
      <w:pPr>
        <w:pStyle w:val="SourceCode"/>
      </w:pPr>
      <w:r>
        <w:rPr>
          <w:rStyle w:val="NormalTok"/>
        </w:rPr>
        <w:t xml:space="preserve">+7MNNN#MMM</w:t>
      </w:r>
    </w:p>
    <w:p>
      <w:pPr>
        <w:pStyle w:val="FirstParagraph"/>
      </w:pPr>
      <w:r>
        <w:t xml:space="preserve">Результат перемножения записывается в первую переменную</w:t>
      </w:r>
    </w:p>
    <w:bookmarkEnd w:id="286"/>
    <w:bookmarkEnd w:id="287"/>
    <w:bookmarkStart w:id="291" w:name="uf7r---чтение-глобальной-переменной"/>
    <w:p>
      <w:pPr>
        <w:pStyle w:val="Heading5"/>
      </w:pPr>
      <w:r>
        <w:t xml:space="preserve">&amp;uf(’+7R… - Чтение глобальной переменной</w:t>
      </w:r>
    </w:p>
    <w:bookmarkStart w:id="288" w:name="назначение-65"/>
    <w:p>
      <w:pPr>
        <w:pStyle w:val="Heading6"/>
      </w:pPr>
      <w:r>
        <w:t xml:space="preserve">1. Назначение</w:t>
      </w:r>
    </w:p>
    <w:p>
      <w:pPr>
        <w:pStyle w:val="FirstParagraph"/>
      </w:pPr>
      <w:r>
        <w:t xml:space="preserve">Чтение глобальной переменной</w:t>
      </w:r>
    </w:p>
    <w:bookmarkEnd w:id="288"/>
    <w:bookmarkStart w:id="289" w:name="формат-передаваемая-строка-64"/>
    <w:p>
      <w:pPr>
        <w:pStyle w:val="Heading6"/>
      </w:pPr>
      <w:r>
        <w:t xml:space="preserve">2. Формат (передаваемая строка)</w:t>
      </w:r>
    </w:p>
    <w:p>
      <w:pPr>
        <w:pStyle w:val="SourceCode"/>
      </w:pPr>
      <w:r>
        <w:rPr>
          <w:rStyle w:val="NormalTok"/>
        </w:rPr>
        <w:t xml:space="preserve">+7RNNN,nnn</w:t>
      </w:r>
    </w:p>
    <w:p>
      <w:pPr>
        <w:pStyle w:val="FirstParagraph"/>
      </w:pPr>
      <w:r>
        <w:t xml:space="preserve">где:</w:t>
      </w:r>
      <w:r>
        <w:t xml:space="preserve"> </w:t>
      </w:r>
      <w:r>
        <w:t xml:space="preserve">* NNN – номер переменной</w:t>
      </w:r>
      <w:r>
        <w:t xml:space="preserve"> </w:t>
      </w:r>
      <w:r>
        <w:t xml:space="preserve">* nnn – номер повторения (по умолчанию - номер текущего повторения в повторяющейся группе);</w:t>
      </w:r>
    </w:p>
    <w:p>
      <w:pPr>
        <w:pStyle w:val="BodyText"/>
      </w:pPr>
      <w:r>
        <w:t xml:space="preserve">Эквивалентная конструкция языка форматирования</w:t>
      </w:r>
    </w:p>
    <w:p>
      <w:pPr>
        <w:pStyle w:val="SourceCode"/>
      </w:pPr>
      <w:r>
        <w:rPr>
          <w:rStyle w:val="NormalTok"/>
        </w:rPr>
        <w:t xml:space="preserve">GNNN</w:t>
      </w:r>
    </w:p>
    <w:bookmarkEnd w:id="289"/>
    <w:bookmarkStart w:id="290" w:name="пример-46"/>
    <w:p>
      <w:pPr>
        <w:pStyle w:val="Heading6"/>
      </w:pPr>
      <w:r>
        <w:t xml:space="preserve">3. Пример</w:t>
      </w:r>
    </w:p>
    <w:p>
      <w:pPr>
        <w:pStyle w:val="SourceCode"/>
      </w:pPr>
      <w:r>
        <w:rPr>
          <w:rStyle w:val="VerbatimChar"/>
        </w:rPr>
        <w:t xml:space="preserve">(&amp;unifor('+7R100))</w:t>
      </w:r>
    </w:p>
    <w:p>
      <w:pPr>
        <w:pStyle w:val="FirstParagraph"/>
      </w:pPr>
      <w:r>
        <w:t xml:space="preserve">Эквивалентная конструкция языка форматирования:</w:t>
      </w:r>
    </w:p>
    <w:p>
      <w:pPr>
        <w:pStyle w:val="SourceCode"/>
      </w:pPr>
      <w:r>
        <w:rPr>
          <w:rStyle w:val="VerbatimChar"/>
        </w:rPr>
        <w:t xml:space="preserve">(G100)</w:t>
      </w:r>
    </w:p>
    <w:bookmarkEnd w:id="290"/>
    <w:bookmarkEnd w:id="291"/>
    <w:bookmarkStart w:id="294" w:name="X944f14cfc19a44d9379cf5e4279452a6189754b"/>
    <w:p>
      <w:pPr>
        <w:pStyle w:val="Heading5"/>
      </w:pPr>
      <w:r>
        <w:t xml:space="preserve">&amp;uf(’+7S… - Логическое вычитание повторений двух переменных</w:t>
      </w:r>
    </w:p>
    <w:bookmarkStart w:id="292" w:name="назначение-66"/>
    <w:p>
      <w:pPr>
        <w:pStyle w:val="Heading6"/>
      </w:pPr>
      <w:r>
        <w:t xml:space="preserve">1. Назначение</w:t>
      </w:r>
    </w:p>
    <w:p>
      <w:pPr>
        <w:pStyle w:val="FirstParagraph"/>
      </w:pPr>
      <w:r>
        <w:t xml:space="preserve">Логическое вычитание повторений двух переменных</w:t>
      </w:r>
    </w:p>
    <w:bookmarkEnd w:id="292"/>
    <w:bookmarkStart w:id="293" w:name="формат-передаваемая-строка-65"/>
    <w:p>
      <w:pPr>
        <w:pStyle w:val="Heading6"/>
      </w:pPr>
      <w:r>
        <w:t xml:space="preserve">2. Формат (передаваемая строка)</w:t>
      </w:r>
    </w:p>
    <w:p>
      <w:pPr>
        <w:pStyle w:val="SourceCode"/>
      </w:pPr>
      <w:r>
        <w:rPr>
          <w:rStyle w:val="NormalTok"/>
        </w:rPr>
        <w:t xml:space="preserve">+7SNNN#MMM</w:t>
      </w:r>
    </w:p>
    <w:p>
      <w:pPr>
        <w:pStyle w:val="FirstParagraph"/>
      </w:pPr>
      <w:r>
        <w:t xml:space="preserve">Результат вычитания записывается в первую переменную</w:t>
      </w:r>
    </w:p>
    <w:bookmarkEnd w:id="293"/>
    <w:bookmarkEnd w:id="294"/>
    <w:bookmarkStart w:id="297" w:name="uf7t---сортировка-повторений-переменной"/>
    <w:p>
      <w:pPr>
        <w:pStyle w:val="Heading5"/>
      </w:pPr>
      <w:r>
        <w:t xml:space="preserve">&amp;uf(’+7T… - Сортировка повторений переменной</w:t>
      </w:r>
    </w:p>
    <w:bookmarkStart w:id="295" w:name="назначение-67"/>
    <w:p>
      <w:pPr>
        <w:pStyle w:val="Heading6"/>
      </w:pPr>
      <w:r>
        <w:t xml:space="preserve">1. Назначение</w:t>
      </w:r>
    </w:p>
    <w:p>
      <w:pPr>
        <w:pStyle w:val="FirstParagraph"/>
      </w:pPr>
      <w:r>
        <w:t xml:space="preserve">Сортировка повторений переменной</w:t>
      </w:r>
    </w:p>
    <w:bookmarkEnd w:id="295"/>
    <w:bookmarkStart w:id="296" w:name="формат-передаваемая-строка-66"/>
    <w:p>
      <w:pPr>
        <w:pStyle w:val="Heading6"/>
      </w:pPr>
      <w:r>
        <w:t xml:space="preserve">2. Формат (передаваемая строка)</w:t>
      </w:r>
    </w:p>
    <w:p>
      <w:pPr>
        <w:pStyle w:val="SourceCode"/>
      </w:pPr>
      <w:r>
        <w:rPr>
          <w:rStyle w:val="NormalTok"/>
        </w:rPr>
        <w:t xml:space="preserve">+7TNNN</w:t>
      </w:r>
    </w:p>
    <w:p>
      <w:pPr>
        <w:pStyle w:val="FirstParagraph"/>
      </w:pPr>
      <w:r>
        <w:t xml:space="preserve">Результат сортировки записывается в ту же переменную</w:t>
      </w:r>
    </w:p>
    <w:bookmarkEnd w:id="296"/>
    <w:bookmarkEnd w:id="297"/>
    <w:bookmarkStart w:id="300" w:name="X2c01c60d821b634c1402a7cb086ac8cb5ebaf68"/>
    <w:p>
      <w:pPr>
        <w:pStyle w:val="Heading5"/>
      </w:pPr>
      <w:r>
        <w:t xml:space="preserve">&amp;uf(’+7U… - Добавление повторений глобальной переменной</w:t>
      </w:r>
    </w:p>
    <w:bookmarkStart w:id="298" w:name="назначение-68"/>
    <w:p>
      <w:pPr>
        <w:pStyle w:val="Heading6"/>
      </w:pPr>
      <w:r>
        <w:t xml:space="preserve">1. Назначение</w:t>
      </w:r>
    </w:p>
    <w:p>
      <w:pPr>
        <w:pStyle w:val="FirstParagraph"/>
      </w:pPr>
      <w:r>
        <w:t xml:space="preserve">Добавление повторений глобальной переменной</w:t>
      </w:r>
    </w:p>
    <w:bookmarkEnd w:id="298"/>
    <w:bookmarkStart w:id="299" w:name="формат-передаваемая-строка-67"/>
    <w:p>
      <w:pPr>
        <w:pStyle w:val="Heading6"/>
      </w:pPr>
      <w:r>
        <w:t xml:space="preserve">2. Формат (передаваемая строка)</w:t>
      </w:r>
    </w:p>
    <w:p>
      <w:pPr>
        <w:pStyle w:val="SourceCode"/>
      </w:pPr>
      <w:r>
        <w:rPr>
          <w:rStyle w:val="NormalTok"/>
        </w:rPr>
        <w:t xml:space="preserve">+7UNNN#SSSS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299"/>
    <w:bookmarkEnd w:id="300"/>
    <w:bookmarkStart w:id="304" w:name="uf7w---запись-глобальной-переменной"/>
    <w:p>
      <w:pPr>
        <w:pStyle w:val="Heading5"/>
      </w:pPr>
      <w:r>
        <w:t xml:space="preserve">&amp;uf(’+7W… - Запись глобальной переменной</w:t>
      </w:r>
    </w:p>
    <w:bookmarkStart w:id="301" w:name="назначение-69"/>
    <w:p>
      <w:pPr>
        <w:pStyle w:val="Heading6"/>
      </w:pPr>
      <w:r>
        <w:t xml:space="preserve">1. Назначение</w:t>
      </w:r>
    </w:p>
    <w:p>
      <w:pPr>
        <w:pStyle w:val="FirstParagraph"/>
      </w:pPr>
      <w:r>
        <w:t xml:space="preserve">Запись глобальной переменной</w:t>
      </w:r>
    </w:p>
    <w:bookmarkEnd w:id="301"/>
    <w:bookmarkStart w:id="302" w:name="формат-передаваемая-строка-68"/>
    <w:p>
      <w:pPr>
        <w:pStyle w:val="Heading6"/>
      </w:pPr>
      <w:r>
        <w:t xml:space="preserve">2. Формат (передаваемая строка)</w:t>
      </w:r>
    </w:p>
    <w:p>
      <w:pPr>
        <w:pStyle w:val="SourceCode"/>
      </w:pPr>
      <w:r>
        <w:rPr>
          <w:rStyle w:val="NormalTok"/>
        </w:rPr>
        <w:t xml:space="preserve">+7WNNN#SSSS</w:t>
      </w:r>
    </w:p>
    <w:p>
      <w:pPr>
        <w:pStyle w:val="FirstParagraph"/>
      </w:pPr>
      <w:r>
        <w:t xml:space="preserve">где:</w:t>
      </w:r>
      <w:r>
        <w:t xml:space="preserve"> </w:t>
      </w:r>
      <w:r>
        <w:t xml:space="preserve">* NNN – номер переменной</w:t>
      </w:r>
      <w:r>
        <w:t xml:space="preserve"> </w:t>
      </w:r>
      <w:r>
        <w:t xml:space="preserve">* SSSS – список строк (результат расформатирования); каждая строка становится отдельным повторением.</w:t>
      </w:r>
    </w:p>
    <w:bookmarkEnd w:id="302"/>
    <w:bookmarkStart w:id="303" w:name="пример-47"/>
    <w:p>
      <w:pPr>
        <w:pStyle w:val="Heading6"/>
      </w:pPr>
      <w:r>
        <w:t xml:space="preserve">3. Пример</w:t>
      </w:r>
    </w:p>
    <w:p>
      <w:pPr>
        <w:pStyle w:val="SourceCode"/>
      </w:pPr>
      <w:r>
        <w:rPr>
          <w:rStyle w:val="VerbatimChar"/>
        </w:rPr>
        <w:t xml:space="preserve">&amp;unifor('+7W100#',(v910/))</w:t>
      </w:r>
    </w:p>
    <w:bookmarkEnd w:id="303"/>
    <w:bookmarkEnd w:id="304"/>
    <w:bookmarkStart w:id="305" w:name="Xe5a903ab58000feee11d6d2ad322bee651e272f"/>
    <w:p>
      <w:pPr>
        <w:pStyle w:val="Heading5"/>
      </w:pPr>
      <w:r>
        <w:t xml:space="preserve">&amp;uf(’+8… - Форматный выход для подключения функций пользователя</w:t>
      </w:r>
    </w:p>
    <w:p>
      <w:pPr>
        <w:pStyle w:val="FirstParagraph"/>
      </w:pPr>
      <w:r>
        <w:t xml:space="preserve">Форматный выход для подключения функций пользователя</w:t>
      </w:r>
    </w:p>
    <w:p>
      <w:pPr>
        <w:pStyle w:val="BodyText"/>
      </w:pPr>
      <w:r>
        <w:t xml:space="preserve">Форматный выход позволяет вызывать функции из внешних DLL, - т.е. предлагается возможность создания СОБСТВЕННЫХ ФОРМАТНЫХ ВЫХОДОВ.</w:t>
      </w:r>
    </w:p>
    <w:p>
      <w:pPr>
        <w:pStyle w:val="BodyText"/>
      </w:pPr>
      <w:r>
        <w:t xml:space="preserve">Структура форматного выхода:</w:t>
      </w:r>
    </w:p>
    <w:p>
      <w:pPr>
        <w:pStyle w:val="SourceCode"/>
      </w:pPr>
      <w:r>
        <w:rPr>
          <w:rStyle w:val="VerbatimChar"/>
        </w:rPr>
        <w:t xml:space="preserve">&amp;unifor('+8&lt;имя_DLL&gt;,&lt;имя_функции&gt;,&lt;передаваемые_данные&gt;') </w:t>
      </w:r>
    </w:p>
    <w:p>
      <w:pPr>
        <w:pStyle w:val="FirstParagraph"/>
      </w:pPr>
      <w:r>
        <w:t xml:space="preserve">Пример:</w:t>
      </w:r>
    </w:p>
    <w:p>
      <w:pPr>
        <w:pStyle w:val="BodyText"/>
      </w:pPr>
      <w:r>
        <w:t xml:space="preserve">в вызываемую функцию передается заглавие:</w:t>
      </w:r>
    </w:p>
    <w:p>
      <w:pPr>
        <w:pStyle w:val="SourceCode"/>
      </w:pPr>
      <w:r>
        <w:rPr>
          <w:rStyle w:val="VerbatimChar"/>
        </w:rPr>
        <w:t xml:space="preserve">&amp;unifor('+8test_dll,test_function1,',v200^a)</w:t>
      </w:r>
    </w:p>
    <w:p>
      <w:pPr>
        <w:pStyle w:val="FirstParagraph"/>
      </w:pPr>
      <w:r>
        <w:t xml:space="preserve">передаются повторения 910 поля:</w:t>
      </w:r>
    </w:p>
    <w:p>
      <w:pPr>
        <w:pStyle w:val="SourceCode"/>
      </w:pPr>
      <w:r>
        <w:rPr>
          <w:rStyle w:val="VerbatimChar"/>
        </w:rPr>
        <w:t xml:space="preserve">(&amp;unifor('+8test_dll,test_function2,',v910))</w:t>
      </w:r>
    </w:p>
    <w:p>
      <w:pPr>
        <w:pStyle w:val="FirstParagraph"/>
      </w:pPr>
      <w:r>
        <w:t xml:space="preserve">передается вся текущая запись:</w:t>
      </w:r>
    </w:p>
    <w:p>
      <w:pPr>
        <w:pStyle w:val="SourceCode"/>
      </w:pPr>
      <w:r>
        <w:rPr>
          <w:rStyle w:val="VerbatimChar"/>
        </w:rPr>
        <w:t xml:space="preserve">(&amp;unifor('+8test_dll,test_function2,',&amp;unifor('+0'))) </w:t>
      </w:r>
    </w:p>
    <w:p>
      <w:pPr>
        <w:pStyle w:val="FirstParagraph"/>
      </w:pPr>
      <w:r>
        <w:t xml:space="preserve">Внешние функции должны ОБЯЗАТЕЛЬНО иметь следующую структуру:</w:t>
      </w:r>
    </w:p>
    <w:p>
      <w:pPr>
        <w:pStyle w:val="SourceCode"/>
      </w:pPr>
      <w:r>
        <w:rPr>
          <w:rStyle w:val="NormalTok"/>
        </w:rPr>
        <w:t xml:space="preserve">test_function1(buf1,buf2: Pchar; bufsize: </w:t>
      </w:r>
      <w:r>
        <w:rPr>
          <w:rStyle w:val="DataTypeTok"/>
        </w:rPr>
        <w:t xml:space="preserve">integer</w:t>
      </w:r>
      <w:r>
        <w:rPr>
          <w:rStyle w:val="NormalTok"/>
        </w:rPr>
        <w:t xml:space="preserve">): </w:t>
      </w:r>
      <w:r>
        <w:rPr>
          <w:rStyle w:val="DataTypeTok"/>
        </w:rPr>
        <w:t xml:space="preserve">integer</w:t>
      </w:r>
      <w:r>
        <w:rPr>
          <w:rStyle w:val="NormalTok"/>
        </w:rPr>
        <w:t xml:space="preserve">; </w:t>
      </w:r>
    </w:p>
    <w:p>
      <w:pPr>
        <w:pStyle w:val="SourceCode"/>
      </w:pPr>
      <w:r>
        <w:rPr>
          <w:rStyle w:val="DataTypeTok"/>
        </w:rPr>
        <w:t xml:space="preserve">int</w:t>
      </w:r>
      <w:r>
        <w:rPr>
          <w:rStyle w:val="NormalTok"/>
        </w:rPr>
        <w:t xml:space="preserve"> test_function1</w:t>
      </w:r>
      <w:r>
        <w:rPr>
          <w:rStyle w:val="OperatorTok"/>
        </w:rPr>
        <w:t xml:space="preserve">(</w:t>
      </w:r>
      <w:r>
        <w:rPr>
          <w:rStyle w:val="DataTypeTok"/>
        </w:rPr>
        <w:t xml:space="preserve">char</w:t>
      </w:r>
      <w:r>
        <w:rPr>
          <w:rStyle w:val="NormalTok"/>
        </w:rPr>
        <w:t xml:space="preserve"> </w:t>
      </w:r>
      <w:r>
        <w:rPr>
          <w:rStyle w:val="OperatorTok"/>
        </w:rPr>
        <w:t xml:space="preserve">*</w:t>
      </w:r>
      <w:r>
        <w:rPr>
          <w:rStyle w:val="NormalTok"/>
        </w:rPr>
        <w:t xml:space="preserve">buf1</w:t>
      </w:r>
      <w:r>
        <w:rPr>
          <w:rStyle w:val="OperatorTok"/>
        </w:rPr>
        <w:t xml:space="preserve">,</w:t>
      </w:r>
      <w:r>
        <w:rPr>
          <w:rStyle w:val="NormalTok"/>
        </w:rPr>
        <w:t xml:space="preserve"> </w:t>
      </w:r>
      <w:r>
        <w:rPr>
          <w:rStyle w:val="DataTypeTok"/>
        </w:rPr>
        <w:t xml:space="preserve">char</w:t>
      </w:r>
      <w:r>
        <w:rPr>
          <w:rStyle w:val="NormalTok"/>
        </w:rPr>
        <w:t xml:space="preserve"> </w:t>
      </w:r>
      <w:r>
        <w:rPr>
          <w:rStyle w:val="OperatorTok"/>
        </w:rPr>
        <w:t xml:space="preserve">*</w:t>
      </w:r>
      <w:r>
        <w:rPr>
          <w:rStyle w:val="NormalTok"/>
        </w:rPr>
        <w:t xml:space="preserve">buf2</w:t>
      </w:r>
      <w:r>
        <w:rPr>
          <w:rStyle w:val="OperatorTok"/>
        </w:rPr>
        <w:t xml:space="preserve">,</w:t>
      </w:r>
      <w:r>
        <w:rPr>
          <w:rStyle w:val="NormalTok"/>
        </w:rPr>
        <w:t xml:space="preserve"> </w:t>
      </w:r>
      <w:r>
        <w:rPr>
          <w:rStyle w:val="DataTypeTok"/>
        </w:rPr>
        <w:t xml:space="preserve">int</w:t>
      </w:r>
      <w:r>
        <w:rPr>
          <w:rStyle w:val="NormalTok"/>
        </w:rPr>
        <w:t xml:space="preserve"> bufsize</w:t>
      </w:r>
      <w:r>
        <w:rPr>
          <w:rStyle w:val="OperatorTok"/>
        </w:rPr>
        <w:t xml:space="preserve">)</w:t>
      </w:r>
      <w:r>
        <w:rPr>
          <w:rStyle w:val="NormalTok"/>
        </w:rPr>
        <w:t xml:space="preserve"> </w:t>
      </w:r>
    </w:p>
    <w:p>
      <w:pPr>
        <w:pStyle w:val="FirstParagraph"/>
      </w:pPr>
      <w:r>
        <w:t xml:space="preserve">где:</w:t>
      </w:r>
      <w:r>
        <w:t xml:space="preserve"> </w:t>
      </w:r>
      <w:r>
        <w:t xml:space="preserve">* buf1 - передаваемые данные (входные)</w:t>
      </w:r>
      <w:r>
        <w:t xml:space="preserve"> </w:t>
      </w:r>
      <w:r>
        <w:t xml:space="preserve">* buf2 - возвращаемые данные (выходные)</w:t>
      </w:r>
      <w:r>
        <w:t xml:space="preserve"> </w:t>
      </w:r>
      <w:r>
        <w:t xml:space="preserve">* bufsize - размер выходного буфера (buf2)</w:t>
      </w:r>
    </w:p>
    <w:p>
      <w:pPr>
        <w:pStyle w:val="BodyText"/>
      </w:pPr>
      <w:r>
        <w:t xml:space="preserve">в ИРБИС64 данные передаются и возвращаются в UTF8</w:t>
      </w:r>
    </w:p>
    <w:p>
      <w:pPr>
        <w:pStyle w:val="BodyText"/>
      </w:pPr>
      <w:r>
        <w:t xml:space="preserve">Возврат функции:</w:t>
      </w:r>
      <w:r>
        <w:t xml:space="preserve"> </w:t>
      </w:r>
      <w:r>
        <w:t xml:space="preserve">* =0 - нормальное завершение;</w:t>
      </w:r>
      <w:r>
        <w:t xml:space="preserve"> </w:t>
      </w:r>
      <w:r>
        <w:t xml:space="preserve">* &lt;&gt;0 – ненормальное.</w:t>
      </w:r>
    </w:p>
    <w:p>
      <w:pPr>
        <w:pStyle w:val="BodyText"/>
      </w:pPr>
      <w:r>
        <w:t xml:space="preserve">В случае нестандартного вызова функций из DLL (по Pascal-правилам) надо указывать символ * перед именем DLL:</w:t>
      </w:r>
    </w:p>
    <w:p>
      <w:pPr>
        <w:pStyle w:val="SourceCode"/>
      </w:pPr>
      <w:r>
        <w:rPr>
          <w:rStyle w:val="VerbatimChar"/>
        </w:rPr>
        <w:t xml:space="preserve">&amp;unifor('+8*&lt;имя_DLL&gt;,&lt;имя_функции&gt;,.... </w:t>
      </w:r>
    </w:p>
    <w:p>
      <w:pPr>
        <w:pStyle w:val="FirstParagraph"/>
      </w:pPr>
      <w:r>
        <w:t xml:space="preserve">@@</w:t>
      </w:r>
      <w:r>
        <w:t xml:space="preserve">@warn</w:t>
      </w:r>
      <w:r>
        <w:t xml:space="preserve"> </w:t>
      </w:r>
      <w:r>
        <w:t xml:space="preserve">Имя функции в вызове надо указывать строго в соответствии с тем, как она экспортирована из DLL (т.е. большие и маленькие буквы различаются).</w:t>
      </w:r>
      <w:r>
        <w:t xml:space="preserve"> </w:t>
      </w:r>
      <w:r>
        <w:t xml:space="preserve">@@@</w:t>
      </w:r>
    </w:p>
    <w:bookmarkEnd w:id="305"/>
    <w:bookmarkStart w:id="308" w:name="Xfefeb2308dd8fa028d67872262d1b7fb465ed9c"/>
    <w:p>
      <w:pPr>
        <w:pStyle w:val="Heading5"/>
      </w:pPr>
      <w:r>
        <w:t xml:space="preserve">&amp;uf(’+9… - Группа технических форматных выходов</w:t>
      </w:r>
    </w:p>
    <w:bookmarkStart w:id="306" w:name="назначение-70"/>
    <w:p>
      <w:pPr>
        <w:pStyle w:val="Heading6"/>
      </w:pPr>
      <w:r>
        <w:t xml:space="preserve">1. Назначение</w:t>
      </w:r>
    </w:p>
    <w:p>
      <w:pPr>
        <w:pStyle w:val="FirstParagraph"/>
      </w:pPr>
      <w:r>
        <w:t xml:space="preserve">Группа технических форматных выходов</w:t>
      </w:r>
    </w:p>
    <w:bookmarkEnd w:id="306"/>
    <w:bookmarkStart w:id="307" w:name="формат-передаваемая-строка-69"/>
    <w:p>
      <w:pPr>
        <w:pStyle w:val="Heading6"/>
      </w:pPr>
      <w:r>
        <w:t xml:space="preserve">2. Формат (передаваемая строка)</w:t>
      </w:r>
    </w:p>
    <w:p>
      <w:pPr>
        <w:pStyle w:val="SourceCode"/>
      </w:pPr>
      <w:r>
        <w:rPr>
          <w:rStyle w:val="NormalTok"/>
        </w:rPr>
        <w:t xml:space="preserve">+9T&lt;исходные_данные&gt;</w:t>
      </w:r>
    </w:p>
    <w:p>
      <w:pPr>
        <w:pStyle w:val="FirstParagraph"/>
      </w:pPr>
      <w:r>
        <w:t xml:space="preserve">где:</w:t>
      </w:r>
      <w:r>
        <w:t xml:space="preserve"> </w:t>
      </w:r>
      <w:r>
        <w:t xml:space="preserve">* T – определяет тип и принимает след.значения:</w:t>
      </w:r>
      <w:r>
        <w:t xml:space="preserve"> </w:t>
      </w:r>
      <w:r>
        <w:t xml:space="preserve">* 0 - вернуть номер текущего повторения в повторяющейся группе (исходные данные не задаются);</w:t>
      </w:r>
      <w:r>
        <w:t xml:space="preserve"> </w:t>
      </w:r>
      <w:r>
        <w:t xml:space="preserve">* 1 - вернуть имя файла из заданного полного пути/имени;</w:t>
      </w:r>
      <w:r>
        <w:t xml:space="preserve"> </w:t>
      </w:r>
      <w:r>
        <w:t xml:space="preserve">* 2 - вернуть путь из заданного полного пути/имени;</w:t>
      </w:r>
      <w:r>
        <w:t xml:space="preserve"> </w:t>
      </w:r>
      <w:r>
        <w:t xml:space="preserve">* 3 - вернуть расширение из заданного полного пути/имени;</w:t>
      </w:r>
      <w:r>
        <w:t xml:space="preserve"> </w:t>
      </w:r>
      <w:r>
        <w:t xml:space="preserve">* 4–вернуть имя диска из заданного полного пути</w:t>
      </w:r>
      <w:r>
        <w:t xml:space="preserve"> </w:t>
      </w:r>
      <w:r>
        <w:t xml:space="preserve">* 5 - вернуть длину исходной строки;</w:t>
      </w:r>
      <w:r>
        <w:t xml:space="preserve"> </w:t>
      </w:r>
      <w:r>
        <w:t xml:space="preserve">* 6 - вернуть фрагмент строки:</w:t>
      </w:r>
    </w:p>
    <w:p>
      <w:pPr>
        <w:pStyle w:val="SourceCode"/>
      </w:pPr>
      <w:r>
        <w:rPr>
          <w:rStyle w:val="NormalTok"/>
        </w:rPr>
        <w:t xml:space="preserve">+96A*SSS.NNN#&lt;строка&gt;</w:t>
      </w:r>
    </w:p>
    <w:p>
      <w:pPr>
        <w:pStyle w:val="SourceCode"/>
      </w:pPr>
      <w:r>
        <w:rPr>
          <w:rStyle w:val="VerbatimChar"/>
        </w:rPr>
        <w:t xml:space="preserve">* A - направление: </w:t>
      </w:r>
      <w:r>
        <w:br/>
      </w:r>
      <w:r>
        <w:rPr>
          <w:rStyle w:val="VerbatimChar"/>
        </w:rPr>
        <w:t xml:space="preserve">  * 0 - с начала строки; </w:t>
      </w:r>
      <w:r>
        <w:br/>
      </w:r>
      <w:r>
        <w:rPr>
          <w:rStyle w:val="VerbatimChar"/>
        </w:rPr>
        <w:t xml:space="preserve">  * 1 - с конца</w:t>
      </w:r>
      <w:r>
        <w:br/>
      </w:r>
      <w:r>
        <w:rPr>
          <w:rStyle w:val="VerbatimChar"/>
        </w:rPr>
        <w:t xml:space="preserve">* SSS – смещение</w:t>
      </w:r>
      <w:r>
        <w:br/>
      </w:r>
      <w:r>
        <w:rPr>
          <w:rStyle w:val="VerbatimChar"/>
        </w:rPr>
        <w:t xml:space="preserve">* NNN - кол-во символов;</w:t>
      </w:r>
    </w:p>
    <w:p>
      <w:pPr>
        <w:pStyle w:val="Compact"/>
        <w:numPr>
          <w:ilvl w:val="0"/>
          <w:numId w:val="1010"/>
        </w:numPr>
      </w:pPr>
      <w:r>
        <w:t xml:space="preserve">7 - вернуть строку в верхнем регистре;</w:t>
      </w:r>
    </w:p>
    <w:p>
      <w:pPr>
        <w:pStyle w:val="Compact"/>
        <w:numPr>
          <w:ilvl w:val="0"/>
          <w:numId w:val="1010"/>
        </w:numPr>
      </w:pPr>
      <w:r>
        <w:t xml:space="preserve">8 - заменить в заданной строке один символ на другой (регистр учитывается):</w:t>
      </w:r>
    </w:p>
    <w:p>
      <w:pPr>
        <w:pStyle w:val="SourceCode"/>
      </w:pPr>
      <w:r>
        <w:rPr>
          <w:rStyle w:val="NormalTok"/>
        </w:rPr>
        <w:t xml:space="preserve">+98ab&lt;строка&gt;</w:t>
      </w:r>
    </w:p>
    <w:p>
      <w:pPr>
        <w:pStyle w:val="SourceCode"/>
      </w:pPr>
      <w:r>
        <w:rPr>
          <w:rStyle w:val="VerbatimChar"/>
        </w:rPr>
        <w:t xml:space="preserve">* a - заменяемый символ</w:t>
      </w:r>
      <w:r>
        <w:br/>
      </w:r>
      <w:r>
        <w:rPr>
          <w:rStyle w:val="VerbatimChar"/>
        </w:rPr>
        <w:t xml:space="preserve">* b – заменяющий символ;</w:t>
      </w:r>
    </w:p>
    <w:p>
      <w:pPr>
        <w:pStyle w:val="Compact"/>
        <w:numPr>
          <w:ilvl w:val="0"/>
          <w:numId w:val="1011"/>
        </w:numPr>
      </w:pPr>
      <w:r>
        <w:t xml:space="preserve">9 - групповая установка глобальных переменных (для ИРБИС-Навигатора). Исходная строка закодирована через URLEncode (&amp;unifor(’+3E….). После раскодировки рассматривается как список строк(TStringList.Text). Каждая строка этого списка имеет структуру: NNN#</w:t>
      </w:r>
      <w:r>
        <w:t xml:space="preserve">;</w:t>
      </w:r>
    </w:p>
    <w:p>
      <w:pPr>
        <w:pStyle w:val="SourceCode"/>
      </w:pPr>
      <w:r>
        <w:rPr>
          <w:rStyle w:val="NormalTok"/>
        </w:rPr>
        <w:t xml:space="preserve">+99</w:t>
      </w:r>
    </w:p>
    <w:p>
      <w:pPr>
        <w:pStyle w:val="Compact"/>
        <w:numPr>
          <w:ilvl w:val="0"/>
          <w:numId w:val="1012"/>
        </w:numPr>
      </w:pPr>
      <w:r>
        <w:t xml:space="preserve">A - Вернуть размер файла в байтах</w:t>
      </w:r>
    </w:p>
    <w:p>
      <w:pPr>
        <w:pStyle w:val="SourceCode"/>
      </w:pPr>
      <w:r>
        <w:rPr>
          <w:rStyle w:val="NormalTok"/>
        </w:rPr>
        <w:t xml:space="preserve">+9A</w:t>
      </w:r>
    </w:p>
    <w:p>
      <w:pPr>
        <w:pStyle w:val="Compact"/>
        <w:numPr>
          <w:ilvl w:val="0"/>
          <w:numId w:val="1013"/>
        </w:numPr>
      </w:pPr>
      <w:r>
        <w:t xml:space="preserve">C – вставить данные из заданного текстового файла:</w:t>
      </w:r>
    </w:p>
    <w:p>
      <w:pPr>
        <w:pStyle w:val="SourceCode"/>
      </w:pPr>
      <w:r>
        <w:rPr>
          <w:rStyle w:val="NormalTok"/>
        </w:rPr>
        <w:t xml:space="preserve">+9С&lt;path&gt;,&lt;dbname&gt;,&lt;filename&gt;</w:t>
      </w:r>
    </w:p>
    <w:p>
      <w:pPr>
        <w:pStyle w:val="SourceCode"/>
      </w:pPr>
      <w:r>
        <w:rPr>
          <w:rStyle w:val="VerbatimChar"/>
        </w:rPr>
        <w:t xml:space="preserve">* &amp;lt;path&gt; – определяет относительный путь к файлу в рамках ИРБИС и принимает значения:</w:t>
      </w:r>
      <w:r>
        <w:br/>
      </w:r>
      <w:r>
        <w:rPr>
          <w:rStyle w:val="VerbatimChar"/>
        </w:rPr>
        <w:t xml:space="preserve">  * 0 – основная директория системы (для ИРБИС32 – та, где находятся исполняемые модули; для ИРБИС64 – та, где находятся исполняемые модули сервера); </w:t>
      </w:r>
      <w:r>
        <w:br/>
      </w:r>
      <w:r>
        <w:rPr>
          <w:rStyle w:val="VerbatimChar"/>
        </w:rPr>
        <w:t xml:space="preserve">  * 1 – общая директория баз данных (по умолчанию \DATAI); </w:t>
      </w:r>
      <w:r>
        <w:br/>
      </w:r>
      <w:r>
        <w:rPr>
          <w:rStyle w:val="VerbatimChar"/>
        </w:rPr>
        <w:t xml:space="preserve">  * 10 – директория конкретной БД;</w:t>
      </w:r>
      <w:r>
        <w:br/>
      </w:r>
      <w:r>
        <w:rPr>
          <w:rStyle w:val="VerbatimChar"/>
        </w:rPr>
        <w:t xml:space="preserve">* &amp;lt;dbname&gt; – имя БД (имеет смысл только при path=10). По умолчанию – предполагается текущая БД;</w:t>
      </w:r>
      <w:r>
        <w:br/>
      </w:r>
      <w:r>
        <w:rPr>
          <w:rStyle w:val="VerbatimChar"/>
        </w:rPr>
        <w:t xml:space="preserve">* &amp;lt;filename&gt; – имя файла;</w:t>
      </w:r>
    </w:p>
    <w:p>
      <w:pPr>
        <w:pStyle w:val="Compact"/>
        <w:numPr>
          <w:ilvl w:val="0"/>
          <w:numId w:val="1014"/>
        </w:numPr>
      </w:pPr>
      <w:r>
        <w:t xml:space="preserve">D – сохранить заданный внутренний двоичный объект в заданном файле:</w:t>
      </w:r>
    </w:p>
    <w:p>
      <w:pPr>
        <w:pStyle w:val="SourceCode"/>
      </w:pPr>
      <w:r>
        <w:rPr>
          <w:rStyle w:val="NormalTok"/>
        </w:rPr>
        <w:t xml:space="preserve">+9DNN#&lt;полный путь&gt;</w:t>
      </w:r>
    </w:p>
    <w:p>
      <w:pPr>
        <w:pStyle w:val="SourceCode"/>
      </w:pPr>
      <w:r>
        <w:rPr>
          <w:rStyle w:val="VerbatimChar"/>
        </w:rPr>
        <w:t xml:space="preserve"> * NN – Номер внутреннего двоичного объекта;</w:t>
      </w:r>
    </w:p>
    <w:p>
      <w:pPr>
        <w:pStyle w:val="Compact"/>
        <w:numPr>
          <w:ilvl w:val="0"/>
          <w:numId w:val="1015"/>
        </w:numPr>
      </w:pPr>
      <w:r>
        <w:t xml:space="preserve">F – вернуть ANSI-символ с заданным кодом;</w:t>
      </w:r>
    </w:p>
    <w:p>
      <w:pPr>
        <w:pStyle w:val="Compact"/>
        <w:numPr>
          <w:ilvl w:val="0"/>
          <w:numId w:val="1015"/>
        </w:numPr>
      </w:pPr>
      <w:r>
        <w:t xml:space="preserve">G - преобразовать заданную строку в список слов;</w:t>
      </w:r>
    </w:p>
    <w:p>
      <w:pPr>
        <w:pStyle w:val="SourceCode"/>
      </w:pPr>
      <w:r>
        <w:rPr>
          <w:rStyle w:val="NormalTok"/>
        </w:rPr>
        <w:t xml:space="preserve">+9G&lt;строка&gt;</w:t>
      </w:r>
    </w:p>
    <w:p>
      <w:pPr>
        <w:pStyle w:val="SourceCode"/>
      </w:pPr>
      <w:r>
        <w:rPr>
          <w:rStyle w:val="VerbatimChar"/>
        </w:rPr>
        <w:t xml:space="preserve">Границы слов определяются на основе таблицы алфавитных символов.</w:t>
      </w:r>
    </w:p>
    <w:p>
      <w:pPr>
        <w:pStyle w:val="Compact"/>
        <w:numPr>
          <w:ilvl w:val="0"/>
          <w:numId w:val="1016"/>
        </w:numPr>
      </w:pPr>
      <w:r>
        <w:t xml:space="preserve">I - Заменить в исходных данных некоторую заданную последовательность символов другой заданной последовательностью символов</w:t>
      </w:r>
    </w:p>
    <w:p>
      <w:pPr>
        <w:pStyle w:val="SourceCode"/>
      </w:pPr>
      <w:r>
        <w:rPr>
          <w:rStyle w:val="NormalTok"/>
        </w:rPr>
        <w:t xml:space="preserve">+9I!AAAA!/BBBB/&lt;данные&gt;</w:t>
      </w:r>
    </w:p>
    <w:p>
      <w:pPr>
        <w:pStyle w:val="SourceCode"/>
      </w:pPr>
      <w:r>
        <w:rPr>
          <w:rStyle w:val="VerbatimChar"/>
        </w:rPr>
        <w:t xml:space="preserve">где АААА – последовательность символов, подлежащая замене; ВВВВ – заменяющая последовательность символов; символ ! – уникальный разделитель, отсутствующий в строке АААА; символ / – уникальный разделитель, отсутствующий в строке ВВВВ. ВВВВ может быть пустым значением, в этом случае последовательность АААА будет удаляться. Обрабатываются ВСЕ (а не только первое) вхождения АААА в исходные данные. В качестве разделителей можно использовать ТОЛЬКО символы стандартного набора (с кодом менее 128).</w:t>
      </w:r>
    </w:p>
    <w:p>
      <w:pPr>
        <w:pStyle w:val="Compact"/>
        <w:numPr>
          <w:ilvl w:val="0"/>
          <w:numId w:val="1017"/>
        </w:numPr>
      </w:pPr>
      <w:r>
        <w:t xml:space="preserve">J - Представить заданный двоичный файл в виде:</w:t>
      </w:r>
      <w:r>
        <w:t xml:space="preserve"> </w:t>
      </w:r>
      <w:r>
        <w:rPr>
          <w:vertAlign w:val="superscript"/>
        </w:rPr>
        <w:t xml:space="preserve">A</w:t>
      </w:r>
      <w:r>
        <w:t xml:space="preserve">B&lt;данные файла перекодированные на основе URLEncode&gt;</w:t>
      </w:r>
    </w:p>
    <w:p>
      <w:pPr>
        <w:pStyle w:val="SourceCode"/>
      </w:pPr>
      <w:r>
        <w:rPr>
          <w:rStyle w:val="NormalTok"/>
        </w:rPr>
        <w:t xml:space="preserve">+9J&lt;полный путь и имя файла&gt;</w:t>
      </w:r>
    </w:p>
    <w:p>
      <w:pPr>
        <w:pStyle w:val="SourceCode"/>
      </w:pPr>
      <w:r>
        <w:rPr>
          <w:rStyle w:val="VerbatimChar"/>
        </w:rPr>
        <w:t xml:space="preserve">Имя файла может задаваться в виде маски, в этом случае использоваться будет первый найденный соответствующей маске файл/</w:t>
      </w:r>
    </w:p>
    <w:p>
      <w:pPr>
        <w:pStyle w:val="Compact"/>
        <w:numPr>
          <w:ilvl w:val="0"/>
          <w:numId w:val="1018"/>
        </w:numPr>
      </w:pPr>
      <w:r>
        <w:t xml:space="preserve">K - Удалить заданный файл. Если имя файла задано в виде маски, то удаляться будут все соответствующие маске файлы.</w:t>
      </w:r>
    </w:p>
    <w:p>
      <w:pPr>
        <w:pStyle w:val="SourceCode"/>
      </w:pPr>
      <w:r>
        <w:rPr>
          <w:rStyle w:val="NormalTok"/>
        </w:rPr>
        <w:t xml:space="preserve">+9K&lt;полный путь и имя файла&gt;</w:t>
      </w:r>
    </w:p>
    <w:p>
      <w:pPr>
        <w:pStyle w:val="Compact"/>
        <w:numPr>
          <w:ilvl w:val="0"/>
          <w:numId w:val="1019"/>
        </w:numPr>
      </w:pPr>
      <w:r>
        <w:t xml:space="preserve">L - Проверить наличие файла/корректность URL</w:t>
      </w:r>
    </w:p>
    <w:p>
      <w:pPr>
        <w:pStyle w:val="SourceCode"/>
      </w:pPr>
      <w:r>
        <w:rPr>
          <w:rStyle w:val="NormalTok"/>
        </w:rPr>
        <w:t xml:space="preserve">+9L&lt;path&gt;,&lt;dbname&gt;,&lt;filename&gt;</w:t>
      </w:r>
    </w:p>
    <w:p>
      <w:pPr>
        <w:pStyle w:val="SourceCode"/>
      </w:pPr>
      <w:r>
        <w:rPr>
          <w:rStyle w:val="VerbatimChar"/>
        </w:rPr>
        <w:t xml:space="preserve">где:</w:t>
      </w:r>
      <w:r>
        <w:br/>
      </w:r>
      <w:r>
        <w:rPr>
          <w:rStyle w:val="VerbatimChar"/>
        </w:rPr>
        <w:t xml:space="preserve">* &amp;lt;path&gt; – определяет путь к файлу и принимает значения: </w:t>
      </w:r>
      <w:r>
        <w:br/>
      </w:r>
      <w:r>
        <w:rPr>
          <w:rStyle w:val="VerbatimChar"/>
        </w:rPr>
        <w:t xml:space="preserve">  * 0 – папка, в которой установлена серверная часть ИРБИС (&amp;lt;IRBIS_SERVER_ROOT&gt;); </w:t>
      </w:r>
      <w:r>
        <w:br/>
      </w:r>
      <w:r>
        <w:rPr>
          <w:rStyle w:val="VerbatimChar"/>
        </w:rPr>
        <w:t xml:space="preserve">  * 1 – общая директория баз данных (по умолчанию &amp;lt;IRBIS_SERVER_ROOT&gt;\DATAI); </w:t>
      </w:r>
      <w:r>
        <w:br/>
      </w:r>
      <w:r>
        <w:rPr>
          <w:rStyle w:val="VerbatimChar"/>
        </w:rPr>
        <w:t xml:space="preserve">  * 2,3,10 – папка БД &amp;lt;dbname&gt;; </w:t>
      </w:r>
      <w:r>
        <w:br/>
      </w:r>
      <w:r>
        <w:rPr>
          <w:rStyle w:val="VerbatimChar"/>
        </w:rPr>
        <w:t xml:space="preserve">  * 11 – абсолютный путь/URL.</w:t>
      </w:r>
      <w:r>
        <w:br/>
      </w:r>
      <w:r>
        <w:rPr>
          <w:rStyle w:val="VerbatimChar"/>
        </w:rPr>
        <w:t xml:space="preserve">* &amp;lt;dbname&gt; – имя БД (имеет смысл только при path=2,3,10).</w:t>
      </w:r>
      <w:r>
        <w:br/>
      </w:r>
      <w:r>
        <w:rPr>
          <w:rStyle w:val="VerbatimChar"/>
        </w:rPr>
        <w:t xml:space="preserve">* &amp;lt;filename&gt; – путь и имя файла или URL.</w:t>
      </w:r>
      <w:r>
        <w:br/>
      </w:r>
      <w:r>
        <w:br/>
      </w:r>
      <w:r>
        <w:rPr>
          <w:rStyle w:val="VerbatimChar"/>
        </w:rPr>
        <w:t xml:space="preserve">Функция возвращает: </w:t>
      </w:r>
      <w:r>
        <w:br/>
      </w:r>
      <w:r>
        <w:rPr>
          <w:rStyle w:val="VerbatimChar"/>
        </w:rPr>
        <w:t xml:space="preserve">  * 0 – если файл отсутствует/некорректный URL; </w:t>
      </w:r>
      <w:r>
        <w:br/>
      </w:r>
      <w:r>
        <w:rPr>
          <w:rStyle w:val="VerbatimChar"/>
        </w:rPr>
        <w:t xml:space="preserve">  * 1 – если файл присутствует/корректный URL.</w:t>
      </w:r>
      <w:r>
        <w:br/>
      </w:r>
      <w:r>
        <w:br/>
      </w:r>
      <w:r>
        <w:rPr>
          <w:rStyle w:val="VerbatimChar"/>
        </w:rPr>
        <w:t xml:space="preserve">Примеры:</w:t>
      </w:r>
    </w:p>
    <w:p>
      <w:pPr>
        <w:pStyle w:val="SourceCode"/>
      </w:pPr>
      <w:r>
        <w:rPr>
          <w:rStyle w:val="VerbatimChar"/>
        </w:rPr>
        <w:t xml:space="preserve">&amp;uf('+9L1,,\deposit\rksu.fst') </w:t>
      </w:r>
      <w:r>
        <w:br/>
      </w:r>
      <w:r>
        <w:rPr>
          <w:rStyle w:val="VerbatimChar"/>
        </w:rPr>
        <w:t xml:space="preserve">(&amp;uf('+9L10,',&amp;uf('+D'),',',v951^A))</w:t>
      </w:r>
    </w:p>
    <w:p>
      <w:pPr>
        <w:pStyle w:val="Compact"/>
        <w:numPr>
          <w:ilvl w:val="0"/>
          <w:numId w:val="1020"/>
        </w:numPr>
      </w:pPr>
      <w:r>
        <w:t xml:space="preserve">R - Преобразование римского числа в арабское</w:t>
      </w:r>
    </w:p>
    <w:p>
      <w:pPr>
        <w:pStyle w:val="SourceCode"/>
      </w:pPr>
      <w:r>
        <w:rPr>
          <w:rStyle w:val="NormalTok"/>
        </w:rPr>
        <w:t xml:space="preserve">+9R&lt;римское_число&gt;</w:t>
      </w:r>
    </w:p>
    <w:p>
      <w:pPr>
        <w:pStyle w:val="Compact"/>
        <w:numPr>
          <w:ilvl w:val="0"/>
          <w:numId w:val="1021"/>
        </w:numPr>
      </w:pPr>
      <w:r>
        <w:t xml:space="preserve">S - Возвращает позицию первого символа найденного вхождения подстроки в исходную строку. Считается, что символы в строке нумеруются с 1. Если подстрока не найдена, то возвращает 0. Комментарий: следует отметить, что в функции Вернуть часть строки – &amp;uf(’+96… указывают смещение, а не позицию символа.</w:t>
      </w:r>
    </w:p>
    <w:p>
      <w:pPr>
        <w:pStyle w:val="SourceCode"/>
      </w:pPr>
      <w:r>
        <w:rPr>
          <w:rStyle w:val="NormalTok"/>
        </w:rPr>
        <w:t xml:space="preserve">+9S!подстрока!&lt;исходная_строка&gt;</w:t>
      </w:r>
    </w:p>
    <w:p>
      <w:pPr>
        <w:pStyle w:val="SourceCode"/>
      </w:pPr>
      <w:r>
        <w:rPr>
          <w:rStyle w:val="VerbatimChar"/>
        </w:rPr>
        <w:t xml:space="preserve">где подстрока – подстрока, которую нужно найти; &lt;исходная_строка&gt; – исходная строка для поиска; символ ! – уникальный разделитель, отсутствующий в искомой подстроке.</w:t>
      </w:r>
    </w:p>
    <w:p>
      <w:pPr>
        <w:pStyle w:val="Compact"/>
        <w:numPr>
          <w:ilvl w:val="0"/>
          <w:numId w:val="1022"/>
        </w:numPr>
      </w:pPr>
      <w:r>
        <w:t xml:space="preserve">V - Вернуть номер поколения ИРБИС. Возвращает поколение системы, в которой осуществляется расформатирование. Может быть полезен при разработке единых форматов, которые по-разному выполняются в ИРБИС 32 и ИРБИС 64</w:t>
      </w:r>
    </w:p>
    <w:p>
      <w:pPr>
        <w:pStyle w:val="SourceCode"/>
      </w:pPr>
      <w:r>
        <w:rPr>
          <w:rStyle w:val="NormalTok"/>
        </w:rPr>
        <w:t xml:space="preserve">+9V</w:t>
      </w:r>
    </w:p>
    <w:p>
      <w:pPr>
        <w:pStyle w:val="FirstParagraph"/>
      </w:pPr>
      <w:r>
        <w:t xml:space="preserve">возвращает:</w:t>
      </w:r>
      <w:r>
        <w:t xml:space="preserve"> </w:t>
      </w:r>
      <w:r>
        <w:t xml:space="preserve">* 32 – если форматирование выполняется в ИРБИС 32;</w:t>
      </w:r>
      <w:r>
        <w:t xml:space="preserve"> </w:t>
      </w:r>
      <w:r>
        <w:t xml:space="preserve">* 64 – если в ИРБИС 64 (и ИРБИС 128).</w:t>
      </w:r>
      <w:r>
        <w:t xml:space="preserve"> </w:t>
      </w:r>
      <w:r>
        <w:t xml:space="preserve">* X - Преобразование арабского числа в римское</w:t>
      </w:r>
    </w:p>
    <w:p>
      <w:pPr>
        <w:pStyle w:val="SourceCode"/>
      </w:pPr>
      <w:r>
        <w:rPr>
          <w:rStyle w:val="NormalTok"/>
        </w:rPr>
        <w:t xml:space="preserve">+9X&lt;арабское_число&gt;</w:t>
      </w:r>
    </w:p>
    <w:bookmarkEnd w:id="307"/>
    <w:bookmarkEnd w:id="308"/>
    <w:bookmarkStart w:id="312" w:name="ufd---выдать-имя-базы-данных"/>
    <w:p>
      <w:pPr>
        <w:pStyle w:val="Heading5"/>
      </w:pPr>
      <w:r>
        <w:t xml:space="preserve">&amp;uf(’+D… - Выдать имя базы данных</w:t>
      </w:r>
    </w:p>
    <w:bookmarkStart w:id="309" w:name="назначение-71"/>
    <w:p>
      <w:pPr>
        <w:pStyle w:val="Heading6"/>
      </w:pPr>
      <w:r>
        <w:t xml:space="preserve">1. Назначение</w:t>
      </w:r>
    </w:p>
    <w:p>
      <w:pPr>
        <w:pStyle w:val="FirstParagraph"/>
      </w:pPr>
      <w:r>
        <w:t xml:space="preserve">Возвращает имя текущей базы данных.</w:t>
      </w:r>
    </w:p>
    <w:bookmarkEnd w:id="309"/>
    <w:bookmarkStart w:id="310" w:name="формат-передаваемая-строка-70"/>
    <w:p>
      <w:pPr>
        <w:pStyle w:val="Heading6"/>
      </w:pPr>
      <w:r>
        <w:t xml:space="preserve">2. Формат (передаваемая строка)</w:t>
      </w:r>
    </w:p>
    <w:p>
      <w:pPr>
        <w:pStyle w:val="SourceCode"/>
      </w:pPr>
      <w:r>
        <w:rPr>
          <w:rStyle w:val="NormalTok"/>
        </w:rPr>
        <w:t xml:space="preserve">+D</w:t>
      </w:r>
    </w:p>
    <w:bookmarkEnd w:id="310"/>
    <w:bookmarkStart w:id="311" w:name="пример-48"/>
    <w:p>
      <w:pPr>
        <w:pStyle w:val="Heading6"/>
      </w:pPr>
      <w:r>
        <w:t xml:space="preserve">3. Пример</w:t>
      </w:r>
    </w:p>
    <w:p>
      <w:pPr>
        <w:pStyle w:val="SourceCode"/>
      </w:pPr>
      <w:r>
        <w:rPr>
          <w:rStyle w:val="VerbatimChar"/>
        </w:rPr>
        <w:t xml:space="preserve">&amp;unifor('+D')</w:t>
      </w:r>
    </w:p>
    <w:bookmarkEnd w:id="311"/>
    <w:bookmarkEnd w:id="312"/>
    <w:bookmarkStart w:id="315" w:name="X0c6e3866e612b85d44f5e594ba126faf7d7c2a3"/>
    <w:p>
      <w:pPr>
        <w:pStyle w:val="Heading5"/>
      </w:pPr>
      <w:r>
        <w:t xml:space="preserve">&amp;uf(’+E… - Возвращает порядковый номер заданного поля в записи</w:t>
      </w:r>
    </w:p>
    <w:bookmarkStart w:id="313" w:name="назначение-72"/>
    <w:p>
      <w:pPr>
        <w:pStyle w:val="Heading6"/>
      </w:pPr>
      <w:r>
        <w:t xml:space="preserve">1. Назначение</w:t>
      </w:r>
    </w:p>
    <w:p>
      <w:pPr>
        <w:pStyle w:val="FirstParagraph"/>
      </w:pPr>
      <w:r>
        <w:t xml:space="preserve">Возвращает порядковый номер заданного поля в записи</w:t>
      </w:r>
    </w:p>
    <w:bookmarkEnd w:id="313"/>
    <w:bookmarkStart w:id="314" w:name="формат-передаваемая-строка-71"/>
    <w:p>
      <w:pPr>
        <w:pStyle w:val="Heading6"/>
      </w:pPr>
      <w:r>
        <w:t xml:space="preserve">2. Формат (передаваемая строка)</w:t>
      </w:r>
    </w:p>
    <w:p>
      <w:pPr>
        <w:pStyle w:val="SourceCode"/>
      </w:pPr>
      <w:r>
        <w:rPr>
          <w:rStyle w:val="NormalTok"/>
        </w:rPr>
        <w:t xml:space="preserve">+Etag#occ</w:t>
      </w:r>
    </w:p>
    <w:p>
      <w:pPr>
        <w:pStyle w:val="FirstParagraph"/>
      </w:pPr>
      <w:r>
        <w:t xml:space="preserve">где:</w:t>
      </w:r>
      <w:r>
        <w:t xml:space="preserve"> </w:t>
      </w:r>
      <w:r>
        <w:t xml:space="preserve">* tag – метка поля;</w:t>
      </w:r>
      <w:r>
        <w:t xml:space="preserve"> </w:t>
      </w:r>
      <w:r>
        <w:t xml:space="preserve">* occ – номер повторения поля (по умолчанию – 1). Может принимать значение * – это означает номер текущего повторения в повторяющейся группе.</w:t>
      </w:r>
    </w:p>
    <w:bookmarkEnd w:id="314"/>
    <w:bookmarkEnd w:id="315"/>
    <w:bookmarkStart w:id="319" w:name="Xccf08d363c079dbd1de4b156cf48b5d8a254af3"/>
    <w:p>
      <w:pPr>
        <w:pStyle w:val="Heading5"/>
      </w:pPr>
      <w:r>
        <w:t xml:space="preserve">&amp;uf(’+F… - Команда постредактуры: очистить результат расформатирования от RTF-конструкций</w:t>
      </w:r>
    </w:p>
    <w:bookmarkStart w:id="316" w:name="назначение-73"/>
    <w:p>
      <w:pPr>
        <w:pStyle w:val="Heading6"/>
      </w:pPr>
      <w:r>
        <w:t xml:space="preserve">1. Назначение</w:t>
      </w:r>
    </w:p>
    <w:p>
      <w:pPr>
        <w:pStyle w:val="FirstParagraph"/>
      </w:pPr>
      <w:r>
        <w:t xml:space="preserve">Команда постредактуры: очистить результат расформатирования от RTF-конструкций. Имеет смысл использовать один раз в любом месте</w:t>
      </w:r>
      <w:r>
        <w:t xml:space="preserve"> </w:t>
      </w:r>
      <w:r>
        <w:t xml:space="preserve">формата</w:t>
      </w:r>
    </w:p>
    <w:bookmarkEnd w:id="316"/>
    <w:bookmarkStart w:id="317" w:name="формат-передаваемая-строка-72"/>
    <w:p>
      <w:pPr>
        <w:pStyle w:val="Heading6"/>
      </w:pPr>
      <w:r>
        <w:t xml:space="preserve">2. Формат (передаваемая строка)</w:t>
      </w:r>
    </w:p>
    <w:p>
      <w:pPr>
        <w:pStyle w:val="SourceCode"/>
      </w:pPr>
      <w:r>
        <w:rPr>
          <w:rStyle w:val="NormalTok"/>
        </w:rPr>
        <w:t xml:space="preserve">+F</w:t>
      </w:r>
    </w:p>
    <w:bookmarkEnd w:id="317"/>
    <w:bookmarkStart w:id="318" w:name="пример-49"/>
    <w:p>
      <w:pPr>
        <w:pStyle w:val="Heading6"/>
      </w:pPr>
      <w:r>
        <w:t xml:space="preserve">3. Пример</w:t>
      </w:r>
    </w:p>
    <w:p>
      <w:pPr>
        <w:pStyle w:val="SourceCode"/>
      </w:pPr>
      <w:r>
        <w:rPr>
          <w:rStyle w:val="VerbatimChar"/>
        </w:rPr>
        <w:t xml:space="preserve">&amp;unifor('+F')</w:t>
      </w:r>
    </w:p>
    <w:bookmarkEnd w:id="318"/>
    <w:bookmarkEnd w:id="319"/>
    <w:bookmarkStart w:id="323" w:name="ufi---формирования-ссылки-гиперссылки"/>
    <w:p>
      <w:pPr>
        <w:pStyle w:val="Heading5"/>
      </w:pPr>
      <w:r>
        <w:t xml:space="preserve">&amp;uf(’+I… - Формирования ссылки (гиперссылки)</w:t>
      </w:r>
    </w:p>
    <w:bookmarkStart w:id="320" w:name="назначение-74"/>
    <w:p>
      <w:pPr>
        <w:pStyle w:val="Heading6"/>
      </w:pPr>
      <w:r>
        <w:t xml:space="preserve">1. Назначение</w:t>
      </w:r>
    </w:p>
    <w:p>
      <w:pPr>
        <w:pStyle w:val="FirstParagraph"/>
      </w:pPr>
      <w:r>
        <w:t xml:space="preserve">Формирования ссылки (гиперссылки)</w:t>
      </w:r>
    </w:p>
    <w:bookmarkEnd w:id="320"/>
    <w:bookmarkStart w:id="321" w:name="формат-передаваемая-строка-73"/>
    <w:p>
      <w:pPr>
        <w:pStyle w:val="Heading6"/>
      </w:pPr>
      <w:r>
        <w:t xml:space="preserve">2. Формат (передаваемая строка)</w:t>
      </w:r>
    </w:p>
    <w:p>
      <w:pPr>
        <w:pStyle w:val="SourceCode"/>
      </w:pPr>
      <w:r>
        <w:rPr>
          <w:rStyle w:val="NormalTok"/>
        </w:rPr>
        <w:t xml:space="preserve">+I/содержание_ссылки/название_ссылки</w:t>
      </w:r>
    </w:p>
    <w:p>
      <w:pPr>
        <w:pStyle w:val="FirstParagraph"/>
      </w:pPr>
      <w:r>
        <w:t xml:space="preserve">где:</w:t>
      </w:r>
      <w:r>
        <w:t xml:space="preserve"> </w:t>
      </w:r>
      <w:r>
        <w:t xml:space="preserve">* /содержание_ссылки/ - внутренние данные ссылки, ограниченные уникальным разделителем. Имеют следующую структуру:</w:t>
      </w:r>
    </w:p>
    <w:p>
      <w:pPr>
        <w:pStyle w:val="SourceCode"/>
      </w:pPr>
      <w:r>
        <w:rPr>
          <w:rStyle w:val="NormalTok"/>
        </w:rPr>
        <w:t xml:space="preserve">NNN,HHH,&lt;параметры&gt;</w:t>
      </w:r>
    </w:p>
    <w:p>
      <w:pPr>
        <w:pStyle w:val="Compact"/>
        <w:numPr>
          <w:ilvl w:val="0"/>
          <w:numId w:val="1023"/>
        </w:numPr>
      </w:pPr>
      <w:r>
        <w:t xml:space="preserve">NNN - тип ссылки, возможные значения:</w:t>
      </w:r>
    </w:p>
    <w:p>
      <w:pPr>
        <w:pStyle w:val="Compact"/>
        <w:numPr>
          <w:ilvl w:val="1"/>
          <w:numId w:val="1024"/>
        </w:numPr>
      </w:pPr>
      <w:r>
        <w:t xml:space="preserve">0 - ссылки на внешние объекты</w:t>
      </w:r>
    </w:p>
    <w:p>
      <w:pPr>
        <w:pStyle w:val="Compact"/>
        <w:numPr>
          <w:ilvl w:val="1"/>
          <w:numId w:val="1024"/>
        </w:numPr>
      </w:pPr>
      <w:r>
        <w:t xml:space="preserve">1 - ссылка на связанный документ (возможно в другой БД) -</w:t>
      </w:r>
      <w:r>
        <w:t xml:space="preserve"> </w:t>
      </w:r>
      <w:r>
        <w:t xml:space="preserve">“от одного к одному”</w:t>
      </w:r>
    </w:p>
    <w:p>
      <w:pPr>
        <w:pStyle w:val="Compact"/>
        <w:numPr>
          <w:ilvl w:val="1"/>
          <w:numId w:val="1024"/>
        </w:numPr>
      </w:pPr>
      <w:r>
        <w:t xml:space="preserve">2 - ссылка на связанные документы (возможно в другой БД) -</w:t>
      </w:r>
      <w:r>
        <w:t xml:space="preserve"> </w:t>
      </w:r>
      <w:r>
        <w:t xml:space="preserve">“от одного к многим”</w:t>
      </w:r>
    </w:p>
    <w:p>
      <w:pPr>
        <w:pStyle w:val="Compact"/>
        <w:numPr>
          <w:ilvl w:val="0"/>
          <w:numId w:val="1023"/>
        </w:numPr>
      </w:pPr>
      <w:r>
        <w:t xml:space="preserve">HHH - экранная подсказка, может иметь вид:</w:t>
      </w:r>
    </w:p>
    <w:p>
      <w:pPr>
        <w:pStyle w:val="Compact"/>
        <w:numPr>
          <w:ilvl w:val="1"/>
          <w:numId w:val="1025"/>
        </w:numPr>
      </w:pPr>
      <w:r>
        <w:t xml:space="preserve">@iii</w:t>
      </w:r>
      <w:r>
        <w:t xml:space="preserve"> </w:t>
      </w:r>
      <w:r>
        <w:t xml:space="preserve">- где iii - номер текста в файле IRBISMSG.TXT</w:t>
      </w:r>
    </w:p>
    <w:p>
      <w:pPr>
        <w:pStyle w:val="Compact"/>
        <w:numPr>
          <w:ilvl w:val="1"/>
          <w:numId w:val="1025"/>
        </w:numPr>
      </w:pPr>
      <w:r>
        <w:t xml:space="preserve"> - собственно текст подсказки в уникальных ограничителях.</w:t>
      </w:r>
    </w:p>
    <w:p>
      <w:pPr>
        <w:pStyle w:val="FirstParagraph"/>
      </w:pPr>
      <w:r>
        <w:t xml:space="preserve">Для ссылок типа 0</w:t>
      </w:r>
      <w:r>
        <w:t xml:space="preserve"> </w:t>
      </w:r>
      <w:r>
        <w:t xml:space="preserve"> </w:t>
      </w:r>
      <w:r>
        <w:t xml:space="preserve">представляет собой в общем виде URL внешнего объекта (в том числе - полный путь на файл).</w:t>
      </w:r>
    </w:p>
    <w:p>
      <w:pPr>
        <w:pStyle w:val="BodyText"/>
      </w:pPr>
      <w:r>
        <w:t xml:space="preserve">Для ссылок типа 1 и 2</w:t>
      </w:r>
      <w:r>
        <w:t xml:space="preserve"> </w:t>
      </w:r>
      <w:r>
        <w:t xml:space="preserve"> </w:t>
      </w:r>
      <w:r>
        <w:t xml:space="preserve">имеют следующую структуру:</w:t>
      </w:r>
    </w:p>
    <w:p>
      <w:pPr>
        <w:pStyle w:val="SourceCode"/>
      </w:pPr>
      <w:r>
        <w:rPr>
          <w:rStyle w:val="NormalTok"/>
        </w:rPr>
        <w:t xml:space="preserve">имя_БД,имя_формата,termin</w:t>
      </w:r>
    </w:p>
    <w:p>
      <w:pPr>
        <w:pStyle w:val="FirstParagraph"/>
      </w:pPr>
      <w:r>
        <w:t xml:space="preserve">где:</w:t>
      </w:r>
      <w:r>
        <w:t xml:space="preserve"> </w:t>
      </w:r>
      <w:r>
        <w:t xml:space="preserve">* имя_БД - имя базы данных, из которой будут браться связанные документы; по умолчанию используется текущая БД.</w:t>
      </w:r>
      <w:r>
        <w:t xml:space="preserve"> </w:t>
      </w:r>
      <w:r>
        <w:t xml:space="preserve">* имя_формата - имя формата, в соответствии с которым будут расформатироваться связанные документы. (по умолчанию - используется оптимизированный формат)</w:t>
      </w:r>
      <w:r>
        <w:t xml:space="preserve"> </w:t>
      </w:r>
      <w:r>
        <w:t xml:space="preserve">* termin - ключевой термин, на основе которого отбираются (ищутся) связанные документы.</w:t>
      </w:r>
    </w:p>
    <w:bookmarkEnd w:id="321"/>
    <w:bookmarkStart w:id="322" w:name="пример-50"/>
    <w:p>
      <w:pPr>
        <w:pStyle w:val="Heading6"/>
      </w:pPr>
      <w:r>
        <w:t xml:space="preserve">3. Пример</w:t>
      </w:r>
    </w:p>
    <w:p>
      <w:pPr>
        <w:pStyle w:val="SourceCode"/>
      </w:pPr>
      <w:r>
        <w:rPr>
          <w:rStyle w:val="VerbatimChar"/>
        </w:rPr>
        <w:t xml:space="preserve">&amp;unifor('+I?0,,'v951^i'?',v951^t,|INTERNET|n951^t)</w:t>
      </w:r>
      <w:r>
        <w:br/>
      </w:r>
      <w:r>
        <w:rPr>
          <w:rStyle w:val="VerbatimChar"/>
        </w:rPr>
        <w:t xml:space="preserve">&amp;unifor(|+I?1,,,,I=|v421^w|?|,v421^a)</w:t>
      </w:r>
    </w:p>
    <w:bookmarkEnd w:id="322"/>
    <w:bookmarkEnd w:id="323"/>
    <w:bookmarkStart w:id="327" w:name="ufn---выдать-количество-повторений-поля"/>
    <w:p>
      <w:pPr>
        <w:pStyle w:val="Heading5"/>
      </w:pPr>
      <w:r>
        <w:t xml:space="preserve">&amp;uf(’+N… - Выдать количество повторений поля</w:t>
      </w:r>
    </w:p>
    <w:bookmarkStart w:id="324" w:name="назначение-75"/>
    <w:p>
      <w:pPr>
        <w:pStyle w:val="Heading6"/>
      </w:pPr>
      <w:r>
        <w:t xml:space="preserve">1. Назначение</w:t>
      </w:r>
    </w:p>
    <w:p>
      <w:pPr>
        <w:pStyle w:val="FirstParagraph"/>
      </w:pPr>
      <w:r>
        <w:t xml:space="preserve">Выдать количество повторений поля</w:t>
      </w:r>
    </w:p>
    <w:bookmarkEnd w:id="324"/>
    <w:bookmarkStart w:id="325" w:name="формат-передаваемая-строка-74"/>
    <w:p>
      <w:pPr>
        <w:pStyle w:val="Heading6"/>
      </w:pPr>
      <w:r>
        <w:t xml:space="preserve">2. Формат (передаваемая строка)</w:t>
      </w:r>
    </w:p>
    <w:p>
      <w:pPr>
        <w:pStyle w:val="SourceCode"/>
      </w:pPr>
      <w:r>
        <w:rPr>
          <w:rStyle w:val="NormalTok"/>
        </w:rPr>
        <w:t xml:space="preserve">+N&lt;поле&gt;</w:t>
      </w:r>
    </w:p>
    <w:p>
      <w:pPr>
        <w:pStyle w:val="FirstParagraph"/>
      </w:pPr>
      <w:r>
        <w:t xml:space="preserve">где:</w:t>
      </w:r>
      <w:r>
        <w:t xml:space="preserve"> </w:t>
      </w:r>
      <w:r>
        <w:t xml:space="preserve">* &lt;поле&gt; - номер поля;</w:t>
      </w:r>
    </w:p>
    <w:bookmarkEnd w:id="325"/>
    <w:bookmarkStart w:id="326" w:name="пример-51"/>
    <w:p>
      <w:pPr>
        <w:pStyle w:val="Heading6"/>
      </w:pPr>
      <w:r>
        <w:t xml:space="preserve">3. Пример</w:t>
      </w:r>
    </w:p>
    <w:p>
      <w:pPr>
        <w:pStyle w:val="SourceCode"/>
      </w:pPr>
      <w:r>
        <w:rPr>
          <w:rStyle w:val="VerbatimChar"/>
        </w:rPr>
        <w:t xml:space="preserve">&amp;unifor('+N910')</w:t>
      </w:r>
    </w:p>
    <w:bookmarkEnd w:id="326"/>
    <w:bookmarkEnd w:id="327"/>
    <w:bookmarkStart w:id="331" w:name="ufr---усекает-строку-справа-до-точки"/>
    <w:p>
      <w:pPr>
        <w:pStyle w:val="Heading5"/>
      </w:pPr>
      <w:r>
        <w:t xml:space="preserve">&amp;uf(’+R… - Усекает строку справа до точки</w:t>
      </w:r>
    </w:p>
    <w:bookmarkStart w:id="328" w:name="назначение-76"/>
    <w:p>
      <w:pPr>
        <w:pStyle w:val="Heading6"/>
      </w:pPr>
      <w:r>
        <w:t xml:space="preserve">1. Назначение</w:t>
      </w:r>
    </w:p>
    <w:p>
      <w:pPr>
        <w:pStyle w:val="FirstParagraph"/>
      </w:pPr>
      <w:r>
        <w:t xml:space="preserve">Усекает строку справа до точки. Используется для отсечения одного уровня в рубриках ГРНТИ</w:t>
      </w:r>
    </w:p>
    <w:bookmarkEnd w:id="328"/>
    <w:bookmarkStart w:id="329" w:name="формат-передаваемая-строка-75"/>
    <w:p>
      <w:pPr>
        <w:pStyle w:val="Heading6"/>
      </w:pPr>
      <w:r>
        <w:t xml:space="preserve">2. Формат (передаваемая строка)</w:t>
      </w:r>
    </w:p>
    <w:p>
      <w:pPr>
        <w:pStyle w:val="SourceCode"/>
      </w:pPr>
      <w:r>
        <w:rPr>
          <w:rStyle w:val="NormalTok"/>
        </w:rPr>
        <w:t xml:space="preserve">+R&lt;строка&gt;</w:t>
      </w:r>
    </w:p>
    <w:bookmarkEnd w:id="329"/>
    <w:bookmarkStart w:id="330" w:name="пример-52"/>
    <w:p>
      <w:pPr>
        <w:pStyle w:val="Heading6"/>
      </w:pPr>
      <w:r>
        <w:t xml:space="preserve">3. Пример</w:t>
      </w:r>
    </w:p>
    <w:p>
      <w:pPr>
        <w:pStyle w:val="FirstParagraph"/>
      </w:pPr>
      <w:r>
        <w:t xml:space="preserve">формат</w:t>
      </w:r>
    </w:p>
    <w:p>
      <w:pPr>
        <w:pStyle w:val="SourceCode"/>
      </w:pPr>
      <w:r>
        <w:rPr>
          <w:rStyle w:val="VerbatimChar"/>
        </w:rPr>
        <w:t xml:space="preserve">&amp;unifor("+R"v3)</w:t>
      </w:r>
    </w:p>
    <w:p>
      <w:pPr>
        <w:pStyle w:val="FirstParagraph"/>
      </w:pPr>
      <w:r>
        <w:t xml:space="preserve">исходная строка</w:t>
      </w:r>
    </w:p>
    <w:p>
      <w:pPr>
        <w:pStyle w:val="SourceCode"/>
      </w:pPr>
      <w:r>
        <w:rPr>
          <w:rStyle w:val="NormalTok"/>
        </w:rPr>
        <w:t xml:space="preserve">02.61.45</w:t>
      </w:r>
    </w:p>
    <w:p>
      <w:pPr>
        <w:pStyle w:val="FirstParagraph"/>
      </w:pPr>
      <w:r>
        <w:t xml:space="preserve">результирующая строка</w:t>
      </w:r>
    </w:p>
    <w:p>
      <w:pPr>
        <w:pStyle w:val="SourceCode"/>
      </w:pPr>
      <w:r>
        <w:rPr>
          <w:rStyle w:val="NormalTok"/>
        </w:rPr>
        <w:t xml:space="preserve">02.61</w:t>
      </w:r>
    </w:p>
    <w:bookmarkEnd w:id="330"/>
    <w:bookmarkEnd w:id="331"/>
    <w:bookmarkStart w:id="335" w:name="Xd25f479794a3c9b5ba97c81225611c73e2e5f03"/>
    <w:p>
      <w:pPr>
        <w:pStyle w:val="Heading5"/>
      </w:pPr>
      <w:r>
        <w:t xml:space="preserve">&amp;uf(’+S… - Выводит нужную часть текста (до знака</w:t>
      </w:r>
      <w:r>
        <w:t xml:space="preserve"> </w:t>
      </w:r>
      <w:r>
        <w:t xml:space="preserve">“=”</w:t>
      </w:r>
      <w:r>
        <w:t xml:space="preserve">, или после него)</w:t>
      </w:r>
    </w:p>
    <w:bookmarkStart w:id="332" w:name="назначение-77"/>
    <w:p>
      <w:pPr>
        <w:pStyle w:val="Heading6"/>
      </w:pPr>
      <w:r>
        <w:t xml:space="preserve">1. Назначение</w:t>
      </w:r>
    </w:p>
    <w:p>
      <w:pPr>
        <w:pStyle w:val="FirstParagraph"/>
      </w:pPr>
      <w:r>
        <w:t xml:space="preserve">Выводит нужную часть текста (до знака</w:t>
      </w:r>
      <w:r>
        <w:t xml:space="preserve"> </w:t>
      </w:r>
      <w:r>
        <w:t xml:space="preserve">“=”</w:t>
      </w:r>
      <w:r>
        <w:t xml:space="preserve">, или после него) в заголовках, описанных по принципу &lt;NNN=KKK&gt;</w:t>
      </w:r>
    </w:p>
    <w:bookmarkEnd w:id="332"/>
    <w:bookmarkStart w:id="333" w:name="формат-передаваемая-строка-76"/>
    <w:p>
      <w:pPr>
        <w:pStyle w:val="Heading6"/>
      </w:pPr>
      <w:r>
        <w:t xml:space="preserve">2. Формат (передаваемая строка)</w:t>
      </w:r>
    </w:p>
    <w:p>
      <w:pPr>
        <w:pStyle w:val="SourceCode"/>
      </w:pPr>
      <w:r>
        <w:rPr>
          <w:rStyle w:val="NormalTok"/>
        </w:rPr>
        <w:t xml:space="preserve">+SN[строка]</w:t>
      </w:r>
    </w:p>
    <w:p>
      <w:pPr>
        <w:pStyle w:val="FirstParagraph"/>
      </w:pPr>
      <w:r>
        <w:t xml:space="preserve">где:</w:t>
      </w:r>
      <w:r>
        <w:t xml:space="preserve"> </w:t>
      </w:r>
      <w:r>
        <w:t xml:space="preserve">* N может принимать значения</w:t>
      </w:r>
      <w:r>
        <w:t xml:space="preserve"> </w:t>
      </w:r>
      <w:r>
        <w:t xml:space="preserve">* 0 для вывода текста после знака</w:t>
      </w:r>
      <w:r>
        <w:t xml:space="preserve"> </w:t>
      </w:r>
      <w:r>
        <w:t xml:space="preserve">“=”</w:t>
      </w:r>
      <w:r>
        <w:t xml:space="preserve">,</w:t>
      </w:r>
      <w:r>
        <w:t xml:space="preserve"> </w:t>
      </w:r>
      <w:r>
        <w:t xml:space="preserve">* 1 для вывода текста перед знаком</w:t>
      </w:r>
      <w:r>
        <w:t xml:space="preserve"> </w:t>
      </w:r>
      <w:r>
        <w:t xml:space="preserve">“=”</w:t>
      </w:r>
      <w:r>
        <w:t xml:space="preserve">.</w:t>
      </w:r>
    </w:p>
    <w:p>
      <w:pPr>
        <w:pStyle w:val="BodyText"/>
      </w:pPr>
      <w:r>
        <w:t xml:space="preserve">@@</w:t>
      </w:r>
      <w:r>
        <w:t xml:space="preserve">@info</w:t>
      </w:r>
      <w:r>
        <w:t xml:space="preserve"> </w:t>
      </w:r>
      <w:r>
        <w:t xml:space="preserve">* Для книг, описанных «Под заглавием», которые начинаются с числительного, обозначенного цифрами, начальный элемент сортировки и авторский знак должны формироваться по словесному обозначению числительного. В связи с этим Пользователь должен ввести дополнительную разметку типа &lt;NNN=Текст&gt;, где «Текст», стоящий после знака «=», — это словесное значение числительного NNN, используемое взамен его для формирования авторского знака и/или в качестве начального элемента сортировки. Например, заглавие 1000 и одна ночь, размеченное как &lt;1000=тысяча&gt; и одна ночь, для формирования авторского знака и сортировки будет представлено как «тысяча и одна ночь», а для печати как «1000 и одна ночь».</w:t>
      </w:r>
      <w:r>
        <w:t xml:space="preserve"> </w:t>
      </w:r>
      <w:r>
        <w:t xml:space="preserve">* Для биографических и биобиблиографических изданий, описанных под заглавием, начинающимся с имени лица, которому оно посвящено, авторский знак и начальный элемент сортировки должны формироваться на фамилию. В связи с этим Пользователь также должен ввести дополнительную разметку типа &lt;AAA=Текст&gt;, где «Текст», стоящий после знака «=», — это фамилия, используемая (взамен части ААА) для формирования авторского знака и/или начального элемента сортировки. Например, заглавие Антон Павлович Чехов может быть размечено как</w:t>
      </w:r>
      <w:r>
        <w:t xml:space="preserve"> </w:t>
      </w:r>
      <w:r>
        <w:t xml:space="preserve"> </w:t>
      </w:r>
      <w:r>
        <w:t xml:space="preserve">(в сортировку пойдет «Чехов Антон Павлович», на печать «Антон Павлович Чехов»). Заметим, что разметка типа &lt;Антон=Чехов&gt; Павлович Чехов даст правильный авторский знак (Чехов Павлович Чехов), но может дать ошибки в сортировке.</w:t>
      </w:r>
      <w:r>
        <w:t xml:space="preserve"> </w:t>
      </w:r>
      <w:r>
        <w:t xml:space="preserve">@@@</w:t>
      </w:r>
    </w:p>
    <w:bookmarkEnd w:id="333"/>
    <w:bookmarkStart w:id="334" w:name="пример-53"/>
    <w:p>
      <w:pPr>
        <w:pStyle w:val="Heading6"/>
      </w:pPr>
      <w:r>
        <w:t xml:space="preserve">3. Пример</w:t>
      </w:r>
    </w:p>
    <w:p>
      <w:pPr>
        <w:pStyle w:val="FirstParagraph"/>
      </w:pPr>
      <w:r>
        <w:t xml:space="preserve">Пример входной строки:</w:t>
      </w:r>
    </w:p>
    <w:p>
      <w:pPr>
        <w:pStyle w:val="SourceCode"/>
      </w:pPr>
      <w:r>
        <w:rPr>
          <w:rStyle w:val="NormalTok"/>
        </w:rPr>
        <w:t xml:space="preserve">&lt;1=Первое&gt; апреля</w:t>
      </w:r>
    </w:p>
    <w:p>
      <w:pPr>
        <w:pStyle w:val="FirstParagraph"/>
      </w:pPr>
      <w:r>
        <w:t xml:space="preserve">Примеры использования функции:</w:t>
      </w:r>
    </w:p>
    <w:p>
      <w:pPr>
        <w:pStyle w:val="SourceCode"/>
      </w:pPr>
      <w:r>
        <w:rPr>
          <w:rStyle w:val="VerbatimChar"/>
        </w:rPr>
        <w:t xml:space="preserve">&amp;uf('+s0'v200^a)</w:t>
      </w:r>
      <w:r>
        <w:br/>
      </w:r>
      <w:r>
        <w:rPr>
          <w:rStyle w:val="VerbatimChar"/>
        </w:rPr>
        <w:t xml:space="preserve">&amp;uf('+s1'v200^a)</w:t>
      </w:r>
    </w:p>
    <w:p>
      <w:pPr>
        <w:pStyle w:val="FirstParagraph"/>
      </w:pPr>
      <w:r>
        <w:t xml:space="preserve">Пример расформатирования:</w:t>
      </w:r>
    </w:p>
    <w:p>
      <w:pPr>
        <w:pStyle w:val="SourceCode"/>
      </w:pPr>
      <w:r>
        <w:rPr>
          <w:rStyle w:val="NormalTok"/>
        </w:rPr>
        <w:t xml:space="preserve">Первое апреля</w:t>
      </w:r>
      <w:r>
        <w:br/>
      </w:r>
      <w:r>
        <w:rPr>
          <w:rStyle w:val="NormalTok"/>
        </w:rPr>
        <w:t xml:space="preserve">1 апреля</w:t>
      </w:r>
    </w:p>
    <w:bookmarkEnd w:id="334"/>
    <w:bookmarkEnd w:id="335"/>
    <w:bookmarkStart w:id="338" w:name="Xa32b46035607a9cf2e820a22d9d1c3881698a17"/>
    <w:p>
      <w:pPr>
        <w:pStyle w:val="Heading5"/>
      </w:pPr>
      <w:r>
        <w:t xml:space="preserve">&amp;uf(’++0… - Выдать содержимое документа полностью – только содержимое полей</w:t>
      </w:r>
    </w:p>
    <w:bookmarkStart w:id="336" w:name="назначение-78"/>
    <w:p>
      <w:pPr>
        <w:pStyle w:val="Heading6"/>
      </w:pPr>
      <w:r>
        <w:t xml:space="preserve">1. Назначение</w:t>
      </w:r>
    </w:p>
    <w:p>
      <w:pPr>
        <w:pStyle w:val="FirstParagraph"/>
      </w:pPr>
      <w:r>
        <w:t xml:space="preserve">Выдать содержимое документа полностью – только содержимое полей</w:t>
      </w:r>
    </w:p>
    <w:bookmarkEnd w:id="336"/>
    <w:bookmarkStart w:id="337" w:name="формат-передаваемая-строка-77"/>
    <w:p>
      <w:pPr>
        <w:pStyle w:val="Heading6"/>
      </w:pPr>
      <w:r>
        <w:t xml:space="preserve">2. Формат (передаваемая строка)</w:t>
      </w:r>
    </w:p>
    <w:p>
      <w:pPr>
        <w:pStyle w:val="SourceCode"/>
      </w:pPr>
      <w:r>
        <w:rPr>
          <w:rStyle w:val="NormalTok"/>
        </w:rPr>
        <w:t xml:space="preserve">++0</w:t>
      </w:r>
    </w:p>
    <w:bookmarkEnd w:id="337"/>
    <w:bookmarkEnd w:id="338"/>
    <w:bookmarkStart w:id="342" w:name="Xb5ae3cf0b8f0b7ab861f4148339b81bc468931f"/>
    <w:p>
      <w:pPr>
        <w:pStyle w:val="Heading5"/>
      </w:pPr>
      <w:r>
        <w:t xml:space="preserve">&amp;uf(’+... - Преобразование строки, удваивающее обратный слэш, или обратное</w:t>
      </w:r>
    </w:p>
    <w:bookmarkStart w:id="339" w:name="назначение-79"/>
    <w:p>
      <w:pPr>
        <w:pStyle w:val="Heading6"/>
      </w:pPr>
      <w:r>
        <w:t xml:space="preserve">1. Назначение</w:t>
      </w:r>
    </w:p>
    <w:p>
      <w:pPr>
        <w:pStyle w:val="FirstParagraph"/>
      </w:pPr>
      <w:r>
        <w:t xml:space="preserve">Преобразование строки, удваивающее обратный слэш, или обратное</w:t>
      </w:r>
    </w:p>
    <w:bookmarkEnd w:id="339"/>
    <w:bookmarkStart w:id="340" w:name="формат-передаваемая-строка-78"/>
    <w:p>
      <w:pPr>
        <w:pStyle w:val="Heading6"/>
      </w:pPr>
      <w:r>
        <w:t xml:space="preserve">2. Формат (передаваемая строка)</w:t>
      </w:r>
    </w:p>
    <w:p>
      <w:pPr>
        <w:pStyle w:val="SourceCode"/>
      </w:pPr>
      <w:r>
        <w:rPr>
          <w:rStyle w:val="NormalTok"/>
        </w:rPr>
        <w:t xml:space="preserve">+\N&lt;строка&gt;</w:t>
      </w:r>
    </w:p>
    <w:p>
      <w:pPr>
        <w:pStyle w:val="FirstParagraph"/>
      </w:pPr>
      <w:r>
        <w:t xml:space="preserve">где:</w:t>
      </w:r>
      <w:r>
        <w:t xml:space="preserve"> </w:t>
      </w:r>
      <w:r>
        <w:t xml:space="preserve">* N может принимать значения</w:t>
      </w:r>
      <w:r>
        <w:t xml:space="preserve"> </w:t>
      </w:r>
      <w:r>
        <w:t xml:space="preserve">* 0 - удвоение знаков обратного слэш;</w:t>
      </w:r>
      <w:r>
        <w:t xml:space="preserve"> </w:t>
      </w:r>
      <w:r>
        <w:t xml:space="preserve">* 1 - преобразование удвоенных знаков слэш в одинарные.</w:t>
      </w:r>
    </w:p>
    <w:bookmarkEnd w:id="340"/>
    <w:bookmarkStart w:id="341" w:name="пример-54"/>
    <w:p>
      <w:pPr>
        <w:pStyle w:val="Heading6"/>
      </w:pPr>
      <w:r>
        <w:t xml:space="preserve">3. Пример</w:t>
      </w:r>
    </w:p>
    <w:p>
      <w:pPr>
        <w:pStyle w:val="FirstParagraph"/>
      </w:pPr>
      <w:r>
        <w:t xml:space="preserve">Результатом формата</w:t>
      </w:r>
    </w:p>
    <w:p>
      <w:pPr>
        <w:pStyle w:val="SourceCode"/>
      </w:pPr>
      <w:r>
        <w:rPr>
          <w:rStyle w:val="VerbatimChar"/>
        </w:rPr>
        <w:t xml:space="preserve">&amp;uf('+\0c:\example.txt')</w:t>
      </w:r>
    </w:p>
    <w:p>
      <w:pPr>
        <w:pStyle w:val="FirstParagraph"/>
      </w:pPr>
      <w:r>
        <w:t xml:space="preserve">будет строка</w:t>
      </w:r>
    </w:p>
    <w:p>
      <w:pPr>
        <w:pStyle w:val="SourceCode"/>
      </w:pPr>
      <w:r>
        <w:rPr>
          <w:rStyle w:val="NormalTok"/>
        </w:rPr>
        <w:t xml:space="preserve">c:\\example.txt</w:t>
      </w:r>
    </w:p>
    <w:p>
      <w:pPr>
        <w:pStyle w:val="FirstParagraph"/>
      </w:pPr>
      <w:r>
        <w:t xml:space="preserve">Результатом формата</w:t>
      </w:r>
    </w:p>
    <w:p>
      <w:pPr>
        <w:pStyle w:val="SourceCode"/>
      </w:pPr>
      <w:r>
        <w:rPr>
          <w:rStyle w:val="VerbatimChar"/>
        </w:rPr>
        <w:t xml:space="preserve">&amp;uf('+\1c:\\example.txt')</w:t>
      </w:r>
    </w:p>
    <w:p>
      <w:pPr>
        <w:pStyle w:val="FirstParagraph"/>
      </w:pPr>
      <w:r>
        <w:t xml:space="preserve">будет строка</w:t>
      </w:r>
    </w:p>
    <w:p>
      <w:pPr>
        <w:pStyle w:val="SourceCode"/>
      </w:pPr>
      <w:r>
        <w:rPr>
          <w:rStyle w:val="NormalTok"/>
        </w:rPr>
        <w:t xml:space="preserve">c:\example.txt</w:t>
      </w:r>
    </w:p>
    <w:bookmarkEnd w:id="341"/>
    <w:bookmarkEnd w:id="342"/>
    <w:bookmarkEnd w:id="343"/>
    <w:bookmarkEnd w:id="344"/>
    <w:bookmarkStart w:id="348" w:name="логические-функции"/>
    <w:p>
      <w:pPr>
        <w:pStyle w:val="Heading3"/>
      </w:pPr>
      <w:r>
        <w:t xml:space="preserve">Логические функции</w:t>
      </w:r>
    </w:p>
    <w:bookmarkStart w:id="345" w:name="функция-ркоманда-вывода-поляподполя"/>
    <w:p>
      <w:pPr>
        <w:pStyle w:val="Heading4"/>
      </w:pPr>
      <w:r>
        <w:t xml:space="preserve">Функция Р(команда вывода поля/подполя)</w:t>
      </w:r>
    </w:p>
    <w:p>
      <w:pPr>
        <w:pStyle w:val="FirstParagraph"/>
      </w:pPr>
      <w:r>
        <w:t xml:space="preserve">Функция Р возвращает значение</w:t>
      </w:r>
      <w:r>
        <w:t xml:space="preserve"> </w:t>
      </w:r>
      <w:r>
        <w:t xml:space="preserve">“истина”</w:t>
      </w:r>
      <w:r>
        <w:t xml:space="preserve">, если форматируемая запись содержит по крайней мере один экземпляр поля или подполя, указанного в аргументе. В противном случае функция P возвращает значение ложь.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Р(v700)</w:t>
            </w:r>
          </w:p>
        </w:tc>
        <w:tc>
          <w:tcPr/>
          <w:p>
            <w:pPr>
              <w:pStyle w:val="Compact"/>
            </w:pPr>
            <w:r>
              <w:t xml:space="preserve">Истина</w:t>
            </w:r>
          </w:p>
        </w:tc>
      </w:tr>
      <w:tr>
        <w:tc>
          <w:tcPr/>
          <w:p>
            <w:pPr>
              <w:pStyle w:val="Compact"/>
            </w:pPr>
            <w:r>
              <w:t xml:space="preserve">P(v700^m)</w:t>
            </w:r>
          </w:p>
        </w:tc>
        <w:tc>
          <w:tcPr/>
          <w:p>
            <w:pPr>
              <w:pStyle w:val="Compact"/>
            </w:pPr>
            <w:r>
              <w:t xml:space="preserve">Ложь</w:t>
            </w:r>
          </w:p>
        </w:tc>
      </w:tr>
      <w:tr>
        <w:tc>
          <w:tcPr/>
          <w:p>
            <w:pPr>
              <w:pStyle w:val="Compact"/>
            </w:pPr>
            <w:r>
              <w:t xml:space="preserve">P(v80)</w:t>
            </w:r>
          </w:p>
        </w:tc>
        <w:tc>
          <w:tcPr/>
          <w:p>
            <w:pPr>
              <w:pStyle w:val="Compact"/>
            </w:pPr>
            <w:r>
              <w:t xml:space="preserve">Ложь</w:t>
            </w:r>
          </w:p>
        </w:tc>
      </w:tr>
    </w:tbl>
    <w:bookmarkEnd w:id="345"/>
    <w:bookmarkStart w:id="346" w:name="функция-a-команда-вывода-поляподполя"/>
    <w:p>
      <w:pPr>
        <w:pStyle w:val="Heading4"/>
      </w:pPr>
      <w:r>
        <w:t xml:space="preserve">Функция A (команда вывода поля/подполя)</w:t>
      </w:r>
    </w:p>
    <w:p>
      <w:pPr>
        <w:pStyle w:val="FirstParagraph"/>
      </w:pPr>
      <w:r>
        <w:t xml:space="preserve">Функция A возвращает значение</w:t>
      </w:r>
      <w:r>
        <w:t xml:space="preserve"> </w:t>
      </w:r>
      <w:r>
        <w:t xml:space="preserve">“истина”</w:t>
      </w:r>
      <w:r>
        <w:t xml:space="preserve">, если форматируемая запись не содержит ни одного экземпляра поля или подполя, указанного в аргументе.</w:t>
      </w:r>
    </w:p>
    <w:p>
      <w:pPr>
        <w:pStyle w:val="BodyText"/>
      </w:pPr>
      <w:r>
        <w:t xml:space="preserve">Если отсутствует поле, то, естественно, отсутствуют и его подполя. Поэтому, если команда вывода специфицирует подполе, то функция A возвращает значение истина, если поле присутствует, но в нем отсутствует соответствующее подполе, или если отсутствует все поле. Например:</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a(v700)</w:t>
            </w:r>
          </w:p>
        </w:tc>
        <w:tc>
          <w:tcPr/>
          <w:p>
            <w:pPr>
              <w:pStyle w:val="Compact"/>
            </w:pPr>
            <w:r>
              <w:t xml:space="preserve">Ложь</w:t>
            </w:r>
          </w:p>
        </w:tc>
      </w:tr>
      <w:tr>
        <w:tc>
          <w:tcPr/>
          <w:p>
            <w:pPr>
              <w:pStyle w:val="Compact"/>
            </w:pPr>
            <w:r>
              <w:t xml:space="preserve">a(v700^m)</w:t>
            </w:r>
          </w:p>
        </w:tc>
        <w:tc>
          <w:tcPr/>
          <w:p>
            <w:pPr>
              <w:pStyle w:val="Compact"/>
            </w:pPr>
            <w:r>
              <w:t xml:space="preserve">Истина</w:t>
            </w:r>
          </w:p>
        </w:tc>
      </w:tr>
      <w:tr>
        <w:tc>
          <w:tcPr/>
          <w:p>
            <w:pPr>
              <w:pStyle w:val="Compact"/>
            </w:pPr>
            <w:r>
              <w:t xml:space="preserve">a(v80)</w:t>
            </w:r>
          </w:p>
        </w:tc>
        <w:tc>
          <w:tcPr/>
          <w:p>
            <w:pPr>
              <w:pStyle w:val="Compact"/>
            </w:pPr>
            <w:r>
              <w:t xml:space="preserve">Истина</w:t>
            </w:r>
          </w:p>
        </w:tc>
      </w:tr>
    </w:tbl>
    <w:bookmarkEnd w:id="346"/>
    <w:bookmarkStart w:id="347" w:name="команда-if"/>
    <w:p>
      <w:pPr>
        <w:pStyle w:val="Heading4"/>
      </w:pPr>
      <w:r>
        <w:t xml:space="preserve">Команда IF</w:t>
      </w:r>
    </w:p>
    <w:p>
      <w:pPr>
        <w:pStyle w:val="FirstParagraph"/>
      </w:pPr>
      <w:r>
        <w:t xml:space="preserve">Команда IF предоставляет возможность строить контекстнозависимые форматы, т. е. форматы, способные изменять выходные значения в зависимости от содержимого форматируемой записи.</w:t>
      </w:r>
    </w:p>
    <w:p>
      <w:pPr>
        <w:pStyle w:val="BodyText"/>
      </w:pPr>
      <w:r>
        <w:t xml:space="preserve">Команда IF записывается следующим образом:</w:t>
      </w:r>
    </w:p>
    <w:p>
      <w:pPr>
        <w:pStyle w:val="SourceCode"/>
      </w:pPr>
      <w:r>
        <w:rPr>
          <w:rStyle w:val="NormalTok"/>
        </w:rPr>
        <w:t xml:space="preserve">IF  условие  THEN  формат-1  ELSE  формат-2  FI</w:t>
      </w:r>
    </w:p>
    <w:p>
      <w:pPr>
        <w:pStyle w:val="FirstParagraph"/>
      </w:pPr>
      <w:r>
        <w:t xml:space="preserve">где:</w:t>
      </w:r>
      <w:r>
        <w:t xml:space="preserve"> </w:t>
      </w:r>
      <w:r>
        <w:t xml:space="preserve">* Условие - логическое выражение, возвращающее значение</w:t>
      </w:r>
      <w:r>
        <w:t xml:space="preserve"> </w:t>
      </w:r>
      <w:r>
        <w:t xml:space="preserve">“истина”</w:t>
      </w:r>
      <w:r>
        <w:t xml:space="preserve"> </w:t>
      </w:r>
      <w:r>
        <w:t xml:space="preserve">или</w:t>
      </w:r>
      <w:r>
        <w:t xml:space="preserve"> </w:t>
      </w:r>
      <w:r>
        <w:t xml:space="preserve">“ложь”</w:t>
      </w:r>
      <w:r>
        <w:t xml:space="preserve"> </w:t>
      </w:r>
      <w:r>
        <w:t xml:space="preserve">* Формат-1 - формат, который вычисляется в том и только том случае, когда значением логического выражения является</w:t>
      </w:r>
      <w:r>
        <w:t xml:space="preserve"> </w:t>
      </w:r>
      <w:r>
        <w:t xml:space="preserve">“истина”</w:t>
      </w:r>
      <w:r>
        <w:t xml:space="preserve">;</w:t>
      </w:r>
      <w:r>
        <w:t xml:space="preserve"> </w:t>
      </w:r>
      <w:r>
        <w:t xml:space="preserve">* формат-2 - формат, который вычисляется в том и только том случае, когда значением логического выражения является</w:t>
      </w:r>
      <w:r>
        <w:t xml:space="preserve"> </w:t>
      </w:r>
      <w:r>
        <w:t xml:space="preserve">“ложь”</w:t>
      </w:r>
      <w:r>
        <w:t xml:space="preserve">.</w:t>
      </w:r>
    </w:p>
    <w:p>
      <w:pPr>
        <w:pStyle w:val="BodyText"/>
      </w:pPr>
      <w:r>
        <w:t xml:space="preserve">Фраза ELSE формат-2 не является обязательной, и может быть опущена. Ключевые слова IF, THEN и FI обязательны всегда. Формат-1 может быть опущен, если присутствует предложение ELSE (т.е. если условие истинно, то ничего не будет выведено). Таким образом, команда IF может также принимать одну из следующих дополнительных форм:</w:t>
      </w:r>
    </w:p>
    <w:p>
      <w:pPr>
        <w:pStyle w:val="SourceCode"/>
      </w:pPr>
      <w:r>
        <w:rPr>
          <w:rStyle w:val="NormalTok"/>
        </w:rPr>
        <w:t xml:space="preserve">IF  условие  THEN  формат-1  FI</w:t>
      </w:r>
      <w:r>
        <w:br/>
      </w:r>
      <w:r>
        <w:rPr>
          <w:rStyle w:val="NormalTok"/>
        </w:rPr>
        <w:t xml:space="preserve">IF  условие  THEN  ELSE формат-2  FI</w:t>
      </w:r>
    </w:p>
    <w:p>
      <w:pPr>
        <w:pStyle w:val="FirstParagraph"/>
      </w:pPr>
      <w:r>
        <w:t xml:space="preserve">Поскольку нет никаких ограничений на команды, которые можно использовать в формате-1 и формате-2, то команды IF могут быть вложены друг в друга любое количество раз. Ключевое слово FI, в таком случае, должно закрывать каждую команду IF (можно рассматривать IF и FI как пару скобок). Например:</w:t>
      </w:r>
    </w:p>
    <w:p>
      <w:pPr>
        <w:pStyle w:val="SourceCode"/>
      </w:pPr>
      <w:r>
        <w:rPr>
          <w:rStyle w:val="VerbatimChar"/>
        </w:rPr>
        <w:t xml:space="preserve">if p(v1) then v24 else if p(v2) and a(v3) then v5 fi fi</w:t>
      </w:r>
    </w:p>
    <w:p>
      <w:pPr>
        <w:pStyle w:val="FirstParagraph"/>
      </w:pPr>
      <w:r>
        <w:t xml:space="preserve">Команда IF особенно полезна для создания обобщенных форматов в интегрированных базах данных, которые содержат различные типы записей. В этом случае надо иметь различные метки для каждого типа записи (должно быть поле, содержащее код, идентифицирующий тип записи). Таким образом, проверяя тип документа с помощью команды IF, можно порождать в одном формате специфическое форматирование записей каждого типа.</w:t>
      </w:r>
    </w:p>
    <w:bookmarkEnd w:id="347"/>
    <w:bookmarkEnd w:id="348"/>
    <w:bookmarkEnd w:id="349"/>
    <w:bookmarkStart w:id="350" w:name="повторяющиеся-группы"/>
    <w:p>
      <w:pPr>
        <w:pStyle w:val="Heading2"/>
      </w:pPr>
      <w:r>
        <w:t xml:space="preserve">Повторяющиеся группы</w:t>
      </w:r>
    </w:p>
    <w:p>
      <w:pPr>
        <w:pStyle w:val="FirstParagraph"/>
      </w:pPr>
      <w:r>
        <w:t xml:space="preserve">Повторяющаяся группа состоит из набора команд форматирования, заключенных в круглые скобки. Смысл этих команд обычный, за исключением того, что обработка повторяющихся полей производится особым образом.</w:t>
      </w:r>
    </w:p>
    <w:p>
      <w:pPr>
        <w:pStyle w:val="BodyText"/>
      </w:pPr>
      <w:r>
        <w:t xml:space="preserve">Чтобы понять концепцию повторяющейся группы, надо, прежде всего, знать, каким образом система работает с повторяющимися полями. При отсутствии каких-либо дополнительных указаний система трактует все экземпляры (в том порядке, в котором они находятся в записи) как единую строку текста.</w:t>
      </w:r>
    </w:p>
    <w:p>
      <w:pPr>
        <w:pStyle w:val="BodyText"/>
      </w:pPr>
      <w:r>
        <w:t xml:space="preserve">Повторяющаяся группа изменяет порядок обработки системой экземпляров повторяющихся полей таким образом, что происходит последовательная обработка отдельно каждого экземпляра повторяющегося поля.</w:t>
      </w:r>
    </w:p>
    <w:p>
      <w:pPr>
        <w:pStyle w:val="BodyText"/>
      </w:pPr>
      <w:r>
        <w:t xml:space="preserve">Когда система обнаруживает скобку, открывающую повторяющуюся группу, происходит следующее:</w:t>
      </w:r>
      <w:r>
        <w:t xml:space="preserve"> </w:t>
      </w:r>
      <w:r>
        <w:t xml:space="preserve">1. Счетчик экземпляров (повторений) устанавливается в единицу.</w:t>
      </w:r>
      <w:r>
        <w:t xml:space="preserve"> </w:t>
      </w:r>
      <w:r>
        <w:t xml:space="preserve">2. Заключенный в скобки формат обрабатывается таким образом, что команды вывода полей выводят только те экземпляры повторяющихся полей, которые соответствуют текущему значению счетчика экземпляров.</w:t>
      </w:r>
      <w:r>
        <w:t xml:space="preserve"> </w:t>
      </w:r>
      <w:r>
        <w:t xml:space="preserve">3. Если в процессе текущего просмотра всей повторяющейся группы ничего не выводится (то есть в пределах группы больше не оказалось экземпляров повторяющегося поля), то процесс обработки повторяющейся группы завершается. В противном случае значение счетчика экземпляров увеличивается на 1 и повторяется выполнение шагов 2 и 3.</w:t>
      </w:r>
    </w:p>
    <w:p>
      <w:pPr>
        <w:pStyle w:val="BodyText"/>
      </w:pPr>
      <w:r>
        <w:t xml:space="preserve">Отметим еще раз, что все команды форматирования внутри повторяющейся группы обрабатываются последовательно экземпляр за экземпляром (как объяснялось выше), включая, таким образом, и поля, указываемые в команде IF, выражениях и функциях, а также строковых функциях, используемых как команды. Поэтому нежелательно использовать безусловные литералы в повторяющейся группе. И если все же безусловные литералы используются, то они будут выдаваться на один раз больше, чем это надо.</w:t>
      </w:r>
    </w:p>
    <w:p>
      <w:pPr>
        <w:pStyle w:val="BodyText"/>
      </w:pPr>
      <w:r>
        <w:t xml:space="preserve">В подавляющем большинстве случаев для правильной обработки повторяющихся полей достаточно использование простых команд форматирования, таких, например, как команда режима вывода или повторяющихся литералов, как это показано ниже:</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mpl,v70</w:t>
            </w:r>
          </w:p>
        </w:tc>
        <w:tc>
          <w:tcPr/>
          <w:p>
            <w:pPr>
              <w:pStyle w:val="Compact"/>
            </w:pPr>
            <w:r>
              <w:t xml:space="preserve">Grieve, B.J.Went, F.W.</w:t>
            </w:r>
          </w:p>
        </w:tc>
      </w:tr>
      <w:tr>
        <w:tc>
          <w:tcPr/>
          <w:p>
            <w:pPr>
              <w:pStyle w:val="Compact"/>
            </w:pPr>
            <w:r>
              <w:t xml:space="preserve">mdl,v70</w:t>
            </w:r>
          </w:p>
        </w:tc>
        <w:tc>
          <w:tcPr/>
          <w:p>
            <w:pPr>
              <w:pStyle w:val="Compact"/>
            </w:pPr>
            <w:r>
              <w:t xml:space="preserve">Grieve, B.J. Went, F.W.</w:t>
            </w:r>
          </w:p>
        </w:tc>
      </w:tr>
      <w:tr>
        <w:tc>
          <w:tcPr/>
          <w:p>
            <w:pPr>
              <w:pStyle w:val="Compact"/>
            </w:pPr>
            <w:r>
              <w:t xml:space="preserve">v70+|; |</w:t>
            </w:r>
          </w:p>
        </w:tc>
        <w:tc>
          <w:tcPr/>
          <w:p>
            <w:pPr>
              <w:pStyle w:val="Compact"/>
            </w:pPr>
            <w:r>
              <w:t xml:space="preserve">Grieve, B.J.; Went, F.W.</w:t>
            </w:r>
          </w:p>
        </w:tc>
      </w:tr>
    </w:tbl>
    <w:p>
      <w:pPr>
        <w:pStyle w:val="BodyText"/>
      </w:pPr>
      <w:r>
        <w:t xml:space="preserve">Однако, возможны случаи, когда появляется необходимость отформатировать повторяющиеся поля другим способом. Например, иногда необходимо форматировать каждый экземпляр поля с новой строки, чего можно достигнуть только с использованием повторяющейся группы, как это показано ниже:</w:t>
      </w:r>
    </w:p>
    <w:tbl>
      <w:tblPr>
        <w:tblStyle w:val="Table"/>
        <w:tblW w:type="pct" w:w="5000"/>
        <w:tblLayout w:type="fixed"/>
        <w:tblLook w:firstRow="1" w:lastRow="0" w:firstColumn="0" w:lastColumn="0" w:noHBand="0" w:noVBand="0" w:val="0020"/>
      </w:tblPr>
      <w:tblGrid>
        <w:gridCol w:w="1289"/>
        <w:gridCol w:w="6630"/>
      </w:tblGrid>
      <w:tr>
        <w:trPr>
          <w:tblHeader w:val="on"/>
        </w:trPr>
        <w:tc>
          <w:tcPr/>
          <w:p>
            <w:pPr>
              <w:pStyle w:val="Compact"/>
            </w:pPr>
            <w:r>
              <w:t xml:space="preserve">Формат</w:t>
            </w:r>
          </w:p>
        </w:tc>
        <w:tc>
          <w:tcPr/>
          <w:p>
            <w:pPr>
              <w:pStyle w:val="Compact"/>
            </w:pPr>
            <w:r>
              <w:t xml:space="preserve">Выходные данные</w:t>
            </w:r>
          </w:p>
        </w:tc>
      </w:tr>
      <w:tr>
        <w:tc>
          <w:tcPr/>
          <w:p>
            <w:pPr>
              <w:pStyle w:val="Compact"/>
            </w:pPr>
            <w:r>
              <w:t xml:space="preserve">v675/v200^a</w:t>
            </w:r>
          </w:p>
        </w:tc>
        <w:tc>
          <w:tcPr/>
          <w:p>
            <w:pPr>
              <w:pStyle w:val="Compact"/>
            </w:pPr>
            <w:r>
              <w:t xml:space="preserve">623.746623.746(092) Сухой П.О.</w:t>
            </w:r>
            <w:r>
              <w:t xml:space="preserve">Конструктор Сухой. Люди и самолеты</w:t>
            </w:r>
          </w:p>
        </w:tc>
      </w:tr>
      <w:tr>
        <w:tc>
          <w:tcPr/>
          <w:p>
            <w:pPr>
              <w:pStyle w:val="Compact"/>
            </w:pPr>
            <w:r>
              <w:t xml:space="preserve">(v675/),v200^a</w:t>
            </w:r>
          </w:p>
        </w:tc>
        <w:tc>
          <w:tcPr/>
          <w:p>
            <w:pPr>
              <w:pStyle w:val="Compact"/>
            </w:pPr>
            <w:r>
              <w:t xml:space="preserve">623.746</w:t>
            </w:r>
            <w:r>
              <w:t xml:space="preserve">623.746(092) Сухой П.О.</w:t>
            </w:r>
            <w:r>
              <w:t xml:space="preserve">Конструктор Сухой. Люди и самолеты</w:t>
            </w:r>
          </w:p>
        </w:tc>
      </w:tr>
    </w:tbl>
    <w:p>
      <w:pPr>
        <w:pStyle w:val="BodyText"/>
      </w:pPr>
      <w:r>
        <w:t xml:space="preserve">В первом случае команда перехода на новую строку (/) выполняется после форматирования всех экземпляров поля 675, а во втором случае она выполняется после каждого экземпляра поля.</w:t>
      </w:r>
    </w:p>
    <w:p>
      <w:pPr>
        <w:pStyle w:val="BodyText"/>
      </w:pPr>
      <w:r>
        <w:t xml:space="preserve">Пример записи ниже иллюстрирует использование повторяющихся полей с подполями (предполагается, что запись содержит два экземпляра поля 20, как это показано в записи ниже).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 Второй формат аналогичен первому, но не содержит повторяющейся группы.</w:t>
      </w:r>
    </w:p>
    <w:p>
      <w:pPr>
        <w:pStyle w:val="BodyText"/>
      </w:pPr>
      <w:r>
        <w:t xml:space="preserve">Если нужно вывести литерал перед данными, создаваемыми повторяющейся группой, то можно использовать безусловный или условный литерал. Отметим, однако, что условный литерал должен быть связан с командой вывода поля (повторяющаяся группа не является командой вывода поля). Для этой цели необходимо использовать команды фиктивного вывода поля.</w:t>
      </w:r>
    </w:p>
    <w:p>
      <w:pPr>
        <w:pStyle w:val="BodyText"/>
      </w:pPr>
      <w:r>
        <w:t xml:space="preserve">Содержимое записи:</w:t>
      </w:r>
    </w:p>
    <w:p>
      <w:pPr>
        <w:pStyle w:val="SourceCode"/>
      </w:pPr>
      <w:r>
        <w:rPr>
          <w:rStyle w:val="NormalTok"/>
        </w:rPr>
        <w:t xml:space="preserve"># 1.210: ^aNew York^сMcGraw Hill^d1988</w:t>
      </w:r>
      <w:r>
        <w:br/>
      </w:r>
      <w:r>
        <w:rPr>
          <w:rStyle w:val="NormalTok"/>
        </w:rPr>
        <w:t xml:space="preserve"># 2.210: ^aLondon^cAcademic Press^d1975</w:t>
      </w:r>
    </w:p>
    <w:p>
      <w:pPr>
        <w:pStyle w:val="FirstParagraph"/>
      </w:pPr>
      <w:r>
        <w:t xml:space="preserve">Формат 1:</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    McGraw Hill          1988</w:t>
      </w:r>
      <w:r>
        <w:br/>
      </w:r>
      <w:r>
        <w:rPr>
          <w:rStyle w:val="NormalTok"/>
        </w:rPr>
        <w:t xml:space="preserve">London      Academic Press       1975</w:t>
      </w:r>
    </w:p>
    <w:p>
      <w:pPr>
        <w:pStyle w:val="FirstParagraph"/>
      </w:pPr>
      <w:r>
        <w:t xml:space="preserve">Формат 2:</w:t>
      </w:r>
    </w:p>
    <w:p>
      <w:pPr>
        <w:pStyle w:val="SourceCode"/>
      </w:pPr>
      <w:r>
        <w:rPr>
          <w:rStyle w:val="VerbatimChar"/>
        </w:rPr>
        <w:t xml:space="preserve">/v210^a,c11,v210^c,c30,v210^d/</w:t>
      </w:r>
    </w:p>
    <w:p>
      <w:pPr>
        <w:pStyle w:val="FirstParagraph"/>
      </w:pPr>
      <w:r>
        <w:t xml:space="preserve">Вывод:</w:t>
      </w:r>
    </w:p>
    <w:p>
      <w:pPr>
        <w:pStyle w:val="SourceCode"/>
      </w:pPr>
      <w:r>
        <w:rPr>
          <w:rStyle w:val="NormalTok"/>
        </w:rPr>
        <w:t xml:space="preserve">New YorkLondon</w:t>
      </w:r>
      <w:r>
        <w:br/>
      </w:r>
      <w:r>
        <w:rPr>
          <w:rStyle w:val="NormalTok"/>
        </w:rPr>
        <w:t xml:space="preserve">McGraw HillAcademic Press</w:t>
      </w:r>
      <w:r>
        <w:br/>
      </w:r>
      <w:r>
        <w:rPr>
          <w:rStyle w:val="NormalTok"/>
        </w:rPr>
        <w:t xml:space="preserve">19881975</w:t>
      </w:r>
    </w:p>
    <w:p>
      <w:pPr>
        <w:pStyle w:val="FirstParagraph"/>
      </w:pPr>
      <w:r>
        <w:t xml:space="preserve">@@</w:t>
      </w:r>
      <w:r>
        <w:t xml:space="preserve">@warn</w:t>
      </w:r>
      <w:r>
        <w:t xml:space="preserve"> </w:t>
      </w:r>
      <w:r>
        <w:t xml:space="preserve">Повторяющиеся группы не могут быть вложенными (т.е. повторяющаяся группа не может содержать другую повторяющуюся группу), за исключением случая, когда внутренняя группа содержится в аргументе формата функции REF.</w:t>
      </w:r>
      <w:r>
        <w:t xml:space="preserve"> </w:t>
      </w:r>
      <w:r>
        <w:t xml:space="preserve">@@@</w:t>
      </w:r>
    </w:p>
    <w:p>
      <w:pPr>
        <w:pStyle w:val="BodyText"/>
      </w:pPr>
      <w:r>
        <w:t xml:space="preserve">Так, например, допустимым является следующий формат:</w:t>
      </w:r>
    </w:p>
    <w:p>
      <w:pPr>
        <w:pStyle w:val="SourceCode"/>
      </w:pPr>
      <w:r>
        <w:rPr>
          <w:rStyle w:val="VerbatimChar"/>
        </w:rPr>
        <w:t xml:space="preserve">(v10,ref(val(v20),v10,(v20,v30)))</w:t>
      </w:r>
    </w:p>
    <w:p>
      <w:pPr>
        <w:pStyle w:val="FirstParagraph"/>
      </w:pPr>
      <w:r>
        <w:t xml:space="preserve">но приведенный ниже формат является недопустимым, что вызовет сообщение об ошибке:</w:t>
      </w:r>
    </w:p>
    <w:p>
      <w:pPr>
        <w:pStyle w:val="SourceCode"/>
      </w:pPr>
      <w:r>
        <w:rPr>
          <w:rStyle w:val="VerbatimChar"/>
        </w:rPr>
        <w:t xml:space="preserve">(v10,(v20,v30))</w:t>
      </w:r>
    </w:p>
    <w:p>
      <w:pPr>
        <w:pStyle w:val="FirstParagraph"/>
      </w:pPr>
      <w:r>
        <w:t xml:space="preserve">Использование повторяющейся группы является обязательным в следующих случаях:</w:t>
      </w:r>
      <w:r>
        <w:t xml:space="preserve"> </w:t>
      </w:r>
      <w:r>
        <w:t xml:space="preserve">1. Использование повторяющегося поля в качестве аргумента функции L.</w:t>
      </w:r>
      <w:r>
        <w:t xml:space="preserve"> </w:t>
      </w:r>
      <w:r>
        <w:t xml:space="preserve">2. Первый аргумент функции REF ссылается на повторяющееся поле.</w:t>
      </w:r>
    </w:p>
    <w:p>
      <w:pPr>
        <w:pStyle w:val="BodyText"/>
      </w:pPr>
      <w:r>
        <w:t xml:space="preserve">Также нужно учитывать возможность употребления повторяющейся группы, когда повторяющееся поле используется в логическом выражении команды IF.</w:t>
      </w:r>
    </w:p>
    <w:bookmarkEnd w:id="350"/>
    <w:bookmarkStart w:id="353" w:name="использование-команд-тэгов-rtf-и-html"/>
    <w:p>
      <w:pPr>
        <w:pStyle w:val="Heading2"/>
      </w:pPr>
      <w:r>
        <w:t xml:space="preserve">Использование команд (тэгов) RTF и HTML</w:t>
      </w:r>
    </w:p>
    <w:p>
      <w:pPr>
        <w:pStyle w:val="FirstParagraph"/>
      </w:pPr>
      <w:r>
        <w:t xml:space="preserve">В форматах допускается использование команд RTF (обеспечивающих представление неплоских текстов, т.е. текстов, содержащих шрифтовые выделения, горизонтальную и вертикальную верстку и т.д.). Форматы, в которых используются команды RTF, называются RTF-форматы.</w:t>
      </w:r>
    </w:p>
    <w:p>
      <w:pPr>
        <w:pStyle w:val="BodyText"/>
      </w:pPr>
      <w:r>
        <w:t xml:space="preserve">Команды RTF вводятся в формат в виде литералов.</w:t>
      </w:r>
    </w:p>
    <w:p>
      <w:pPr>
        <w:pStyle w:val="BodyText"/>
      </w:pPr>
      <w:r>
        <w:t xml:space="preserve">Если предполагается, что формат будет содержать RTF команды, то он должен быть целиком заключен в фигурные скобки:</w:t>
      </w:r>
    </w:p>
    <w:p>
      <w:pPr>
        <w:pStyle w:val="SourceCode"/>
      </w:pPr>
      <w:r>
        <w:rPr>
          <w:rStyle w:val="NormalTok"/>
        </w:rPr>
        <w:t xml:space="preserve">'{'формат '}'</w:t>
      </w:r>
    </w:p>
    <w:p>
      <w:pPr>
        <w:pStyle w:val="FirstParagraph"/>
      </w:pPr>
      <w:r>
        <w:t xml:space="preserve">Все команды RTF начинаются с символа (обратный слэш) \.</w:t>
      </w:r>
    </w:p>
    <w:p>
      <w:pPr>
        <w:pStyle w:val="BodyText"/>
      </w:pPr>
      <w:r>
        <w:t xml:space="preserve">Любая команда RTF должна заканчиваться знаком пробела или непосредственно за ней может следовать другая команда RTF.</w:t>
      </w:r>
    </w:p>
    <w:p>
      <w:pPr>
        <w:pStyle w:val="BodyText"/>
      </w:pPr>
      <w:r>
        <w:t xml:space="preserve">Перечень основных команд RTF приведен в Таблице ниже.</w:t>
      </w:r>
    </w:p>
    <w:tbl>
      <w:tblPr>
        <w:tblStyle w:val="Table"/>
        <w:tblW w:type="pct" w:w="5000"/>
        <w:tblLayout w:type="fixed"/>
        <w:tblLook w:firstRow="1" w:lastRow="0" w:firstColumn="0" w:lastColumn="0" w:noHBand="0" w:noVBand="0" w:val="0020"/>
      </w:tblPr>
      <w:tblGrid>
        <w:gridCol w:w="615"/>
        <w:gridCol w:w="7304"/>
      </w:tblGrid>
      <w:tr>
        <w:trPr>
          <w:tblHeader w:val="on"/>
        </w:trPr>
        <w:tc>
          <w:tcPr/>
          <w:p>
            <w:pPr>
              <w:pStyle w:val="Compact"/>
            </w:pPr>
            <w:r>
              <w:t xml:space="preserve">Команда</w:t>
            </w:r>
          </w:p>
        </w:tc>
        <w:tc>
          <w:tcPr/>
          <w:p>
            <w:pPr>
              <w:pStyle w:val="Compact"/>
            </w:pPr>
            <w:r>
              <w:t xml:space="preserve">Назначение</w:t>
            </w:r>
          </w:p>
        </w:tc>
      </w:tr>
      <w:tr>
        <w:tc>
          <w:tcPr/>
          <w:p>
            <w:pPr>
              <w:pStyle w:val="Compact"/>
            </w:pPr>
          </w:p>
        </w:tc>
        <w:tc>
          <w:tcPr/>
          <w:p>
            <w:pPr>
              <w:pStyle w:val="Compact"/>
            </w:pPr>
            <w:r>
              <w:t xml:space="preserve">Начало нового параграфа (абзаца)</w:t>
            </w:r>
          </w:p>
        </w:tc>
      </w:tr>
      <w:tr>
        <w:tc>
          <w:tcPr/>
          <w:p>
            <w:pPr>
              <w:pStyle w:val="Compact"/>
            </w:pPr>
          </w:p>
        </w:tc>
        <w:tc>
          <w:tcPr/>
          <w:p>
            <w:pPr>
              <w:pStyle w:val="Compact"/>
            </w:pPr>
            <w:r>
              <w:t xml:space="preserve">Левый отступ для всех строк параграфа - NNN (в пунктах)</w:t>
            </w:r>
          </w:p>
        </w:tc>
      </w:tr>
      <w:tr>
        <w:tc>
          <w:tcPr/>
          <w:p>
            <w:pPr>
              <w:pStyle w:val="Compact"/>
            </w:pPr>
          </w:p>
        </w:tc>
        <w:tc>
          <w:tcPr/>
          <w:p>
            <w:pPr>
              <w:pStyle w:val="Compact"/>
            </w:pPr>
            <w:r>
              <w:t xml:space="preserve">Правый отступ для всех строк параграфа - NNN (в пунктах)</w:t>
            </w:r>
          </w:p>
        </w:tc>
      </w:tr>
      <w:tr>
        <w:tc>
          <w:tcPr/>
          <w:p>
            <w:pPr>
              <w:pStyle w:val="Compact"/>
            </w:pPr>
          </w:p>
        </w:tc>
        <w:tc>
          <w:tcPr/>
          <w:p>
            <w:pPr>
              <w:pStyle w:val="Compact"/>
            </w:pPr>
            <w:r>
              <w:t xml:space="preserve">Левый отступ для первой строки параграфа - NNN (в пунктах)</w:t>
            </w:r>
          </w:p>
        </w:tc>
      </w:tr>
      <w:tr>
        <w:tc>
          <w:tcPr/>
          <w:p>
            <w:pPr>
              <w:pStyle w:val="Compact"/>
            </w:pPr>
          </w:p>
        </w:tc>
        <w:tc>
          <w:tcPr/>
          <w:p>
            <w:pPr>
              <w:pStyle w:val="Compact"/>
            </w:pPr>
            <w:r>
              <w:t xml:space="preserve">Начало форматирования нового абзаца; все предыдущие команды форматирования параграфа отменяются</w:t>
            </w:r>
          </w:p>
        </w:tc>
      </w:tr>
      <w:tr>
        <w:tc>
          <w:tcPr/>
          <w:p>
            <w:pPr>
              <w:pStyle w:val="Compact"/>
            </w:pPr>
          </w:p>
        </w:tc>
        <w:tc>
          <w:tcPr/>
          <w:p>
            <w:pPr>
              <w:pStyle w:val="Compact"/>
            </w:pPr>
            <w:r>
              <w:t xml:space="preserve">Размер шрифта - NNN (удвоенный размер в пунктах)</w:t>
            </w:r>
          </w:p>
        </w:tc>
      </w:tr>
      <w:tr>
        <w:tc>
          <w:tcPr/>
          <w:p>
            <w:pPr>
              <w:pStyle w:val="Compact"/>
            </w:pPr>
          </w:p>
        </w:tc>
        <w:tc>
          <w:tcPr/>
          <w:p>
            <w:pPr>
              <w:pStyle w:val="Compact"/>
            </w:pPr>
            <w:r>
              <w:t xml:space="preserve">Начало и конец подчеркивания</w:t>
            </w:r>
          </w:p>
        </w:tc>
      </w:tr>
      <w:tr>
        <w:tc>
          <w:tcPr/>
          <w:p>
            <w:pPr>
              <w:pStyle w:val="Compact"/>
            </w:pPr>
            <w:r>
              <w:t xml:space="preserve">0</w:t>
            </w:r>
          </w:p>
        </w:tc>
        <w:tc>
          <w:tcPr/>
          <w:p>
            <w:pPr>
              <w:pStyle w:val="Compact"/>
            </w:pPr>
            <w:r>
              <w:t xml:space="preserve">Начало и конец курсива</w:t>
            </w:r>
          </w:p>
        </w:tc>
      </w:tr>
      <w:tr>
        <w:tc>
          <w:tcPr/>
          <w:p>
            <w:pPr>
              <w:pStyle w:val="Compact"/>
            </w:pPr>
          </w:p>
        </w:tc>
        <w:tc>
          <w:tcPr/>
          <w:p>
            <w:pPr>
              <w:pStyle w:val="Compact"/>
            </w:pPr>
            <w:r>
              <w:t xml:space="preserve">Начало и конец жирности</w:t>
            </w:r>
          </w:p>
        </w:tc>
      </w:tr>
      <w:tr>
        <w:tc>
          <w:tcPr/>
          <w:p>
            <w:pPr>
              <w:pStyle w:val="Compact"/>
            </w:pPr>
          </w:p>
        </w:tc>
        <w:tc>
          <w:tcPr/>
          <w:p>
            <w:pPr>
              <w:pStyle w:val="Compact"/>
            </w:pPr>
            <w:r>
              <w:t xml:space="preserve">Табуляция</w:t>
            </w:r>
          </w:p>
        </w:tc>
      </w:tr>
      <w:tr>
        <w:tc>
          <w:tcPr/>
          <w:p>
            <w:pPr>
              <w:pStyle w:val="Compact"/>
            </w:pPr>
          </w:p>
        </w:tc>
        <w:tc>
          <w:tcPr/>
          <w:p>
            <w:pPr>
              <w:pStyle w:val="Compact"/>
            </w:pPr>
            <w:r>
              <w:t xml:space="preserve">Правое выравнивание строк</w:t>
            </w:r>
          </w:p>
        </w:tc>
      </w:tr>
      <w:tr>
        <w:tc>
          <w:tcPr/>
          <w:p>
            <w:pPr>
              <w:pStyle w:val="Compact"/>
            </w:pPr>
          </w:p>
        </w:tc>
        <w:tc>
          <w:tcPr/>
          <w:p>
            <w:pPr>
              <w:pStyle w:val="Compact"/>
            </w:pPr>
            <w:r>
              <w:t xml:space="preserve">Левое выравнивание строк</w:t>
            </w:r>
          </w:p>
        </w:tc>
      </w:tr>
      <w:tr>
        <w:tc>
          <w:tcPr/>
          <w:p>
            <w:pPr>
              <w:pStyle w:val="Compact"/>
            </w:pPr>
          </w:p>
        </w:tc>
        <w:tc>
          <w:tcPr/>
          <w:p>
            <w:pPr>
              <w:pStyle w:val="Compact"/>
            </w:pPr>
            <w:r>
              <w:t xml:space="preserve">Центральное выравнивание строк</w:t>
            </w:r>
          </w:p>
        </w:tc>
      </w:tr>
      <w:tr>
        <w:tc>
          <w:tcPr/>
          <w:p>
            <w:pPr>
              <w:pStyle w:val="Compact"/>
            </w:pPr>
          </w:p>
        </w:tc>
        <w:tc>
          <w:tcPr/>
          <w:p>
            <w:pPr>
              <w:pStyle w:val="Compact"/>
            </w:pPr>
            <w:r>
              <w:t xml:space="preserve">Равномерное выравнивание строк</w:t>
            </w:r>
          </w:p>
        </w:tc>
      </w:tr>
      <w:tr>
        <w:tc>
          <w:tcPr/>
          <w:p>
            <w:pPr>
              <w:pStyle w:val="Compact"/>
            </w:pPr>
          </w:p>
        </w:tc>
        <w:tc>
          <w:tcPr/>
          <w:p>
            <w:pPr>
              <w:pStyle w:val="Compact"/>
            </w:pPr>
            <w:r>
              <w:t xml:space="preserve">Переход на новую страницу</w:t>
            </w:r>
          </w:p>
        </w:tc>
      </w:tr>
      <w:tr>
        <w:tc>
          <w:tcPr/>
          <w:p>
            <w:pPr>
              <w:pStyle w:val="Compact"/>
            </w:pPr>
          </w:p>
        </w:tc>
        <w:tc>
          <w:tcPr/>
          <w:p>
            <w:pPr>
              <w:pStyle w:val="Compact"/>
            </w:pPr>
            <w:r>
              <w:t xml:space="preserve">Позиция табуляция - NNN (в пунктах)</w:t>
            </w:r>
          </w:p>
        </w:tc>
      </w:tr>
    </w:tbl>
    <w:p>
      <w:pPr>
        <w:pStyle w:val="BodyText"/>
      </w:pPr>
      <w:r>
        <w:t xml:space="preserve">В форматах, содержащих команды RTF, неприменимы команды вертикальной верстки: / # %.</w:t>
      </w:r>
    </w:p>
    <w:p>
      <w:pPr>
        <w:pStyle w:val="BodyText"/>
      </w:pPr>
      <w:r>
        <w:t xml:space="preserve">В форматах показа могут использоваться HTML-тэги (как альтернатива RTF-тэгам, т.е. совместное использование RTF-команд и HTML-тэгов недопустимо) - со всеми вытекающими возможностями (показ графики, ссылок и т.д.).</w:t>
      </w:r>
    </w:p>
    <w:p>
      <w:pPr>
        <w:pStyle w:val="BodyText"/>
      </w:pPr>
      <w:r>
        <w:t xml:space="preserve">Форматы, в которых используются HTML-тэги, называются HTML-форматы.</w:t>
      </w:r>
    </w:p>
    <w:p>
      <w:pPr>
        <w:pStyle w:val="BodyText"/>
      </w:pPr>
      <w:r>
        <w:t xml:space="preserve">HTML-тэги вводятся в формат в виде литералов.</w:t>
      </w:r>
    </w:p>
    <w:p>
      <w:pPr>
        <w:pStyle w:val="BodyText"/>
      </w:pPr>
      <w:r>
        <w:t xml:space="preserve">Начальный масштаб страницы HTML-формата просмотра в клиентских АРМах задается параметром</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См. раздел</w:t>
      </w:r>
      <w:r>
        <w:t xml:space="preserve"> </w:t>
      </w:r>
      <w:hyperlink r:id="rId351">
        <w:r>
          <w:rPr>
            <w:rStyle w:val="Hyperlink"/>
          </w:rPr>
          <w:t xml:space="preserve">Масштаб страницы HTML-формата просмотра</w:t>
        </w:r>
      </w:hyperlink>
      <w:r>
        <w:t xml:space="preserve">.</w:t>
      </w:r>
    </w:p>
    <w:p>
      <w:pPr>
        <w:pStyle w:val="BodyText"/>
      </w:pPr>
      <w:r>
        <w:t xml:space="preserve">Если требуется явно определить формат как HTML-формат, необходимо в самом начале формата указать фиктивный тэг:</w:t>
      </w:r>
    </w:p>
    <w:p>
      <w:pPr>
        <w:pStyle w:val="SourceCode"/>
      </w:pPr>
      <w:r>
        <w:rPr>
          <w:rStyle w:val="VerbatimChar"/>
        </w:rPr>
        <w:t xml:space="preserve">'&lt;/&gt;'</w:t>
      </w:r>
    </w:p>
    <w:p>
      <w:pPr>
        <w:pStyle w:val="FirstParagraph"/>
      </w:pPr>
      <w:r>
        <w:t xml:space="preserve">В форматах, содержащих HTML-тэги, неприменимы команды вертикальной верстки / # %, а также команды Xn и Cn.</w:t>
      </w:r>
      <w:r>
        <w:t xml:space="preserve"> </w:t>
      </w:r>
      <w:r>
        <w:t xml:space="preserve">Предлагаются ДОПОЛНИТЕЛЬНЫЕ возможности при адресации ресурсов ИРБИС в тэгах &lt;A HREF=…&gt; и &lt;IMG SRC=…&gt;:</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”IRBIS:N,описание_ссылки”</w:t>
      </w:r>
      <w:r>
        <w:rPr>
          <w:rStyle w:val="DataTypeTok"/>
        </w:rPr>
        <w:t xml:space="preserve">&gt;</w:t>
      </w:r>
    </w:p>
    <w:p>
      <w:pPr>
        <w:pStyle w:val="FirstParagraph"/>
      </w:pPr>
      <w:r>
        <w:t xml:space="preserve">где:</w:t>
      </w:r>
      <w:r>
        <w:t xml:space="preserve"> </w:t>
      </w:r>
      <w:r>
        <w:t xml:space="preserve">* N – число, обозначающее вид ссылки; принимает значения 0, 1, 2, 3.</w:t>
      </w:r>
    </w:p>
    <w:p>
      <w:pPr>
        <w:pStyle w:val="BodyText"/>
      </w:pPr>
      <w:r>
        <w:t xml:space="preserve">Для значений 0,1,2 – структура и смысл ссылок аналогичен ссылкам, формируемым с помощью форматного выхода</w:t>
      </w:r>
      <w:r>
        <w:t xml:space="preserve"> </w:t>
      </w:r>
      <w:hyperlink r:id="rId352">
        <w:r>
          <w:rPr>
            <w:rStyle w:val="Hyperlink"/>
          </w:rPr>
          <w:t xml:space="preserve">&amp;unifor(’+I…)</w:t>
        </w:r>
      </w:hyperlink>
      <w:r>
        <w:t xml:space="preserve">.</w:t>
      </w:r>
    </w:p>
    <w:p>
      <w:pPr>
        <w:pStyle w:val="BodyText"/>
      </w:pPr>
      <w:r>
        <w:t xml:space="preserve">@@</w:t>
      </w:r>
      <w:r>
        <w:t xml:space="preserve">@warn</w:t>
      </w:r>
      <w:r>
        <w:t xml:space="preserve"> </w:t>
      </w:r>
      <w:r>
        <w:t xml:space="preserve">Важное замечание: форматный выход &amp;unifor(’+I..) ПРИМЕНИМ ТОЛЬКО В RTF-форматах (т.е. в форматах с HTML-тэгами он не применим).</w:t>
      </w:r>
      <w:r>
        <w:t xml:space="preserve"> </w:t>
      </w:r>
      <w:r>
        <w:t xml:space="preserve">@@@</w:t>
      </w:r>
    </w:p>
    <w:p>
      <w:pPr>
        <w:pStyle w:val="BodyText"/>
      </w:pPr>
      <w:r>
        <w:t xml:space="preserve">Значение 3 определяет ссылку на внешний объект через относительную адресацию в рамках системы ИРБИС:</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”IRBIS:3,path,dbname,filename”…</w:t>
      </w:r>
      <w:r>
        <w:rPr>
          <w:rStyle w:val="DataTypeTok"/>
        </w:rPr>
        <w:t xml:space="preserve">&gt;</w:t>
      </w:r>
    </w:p>
    <w:p>
      <w:pPr>
        <w:pStyle w:val="FirstParagraph"/>
      </w:pPr>
      <w:r>
        <w:t xml:space="preserve">где:</w:t>
      </w:r>
      <w:r>
        <w:t xml:space="preserve"> </w:t>
      </w:r>
      <w:r>
        <w:t xml:space="preserve">* path – определяет относительный путь к внешнему объекту в рамках ИРБИС и принимает значения: 0 – основная директория системы (для ИРБИС32 – та, где находятся исполняемые модули; для ИРБИС64 – та, где находятся исполняемые модули сервера); 1 – общая директория баз данных (по умолчанию</w:t>
      </w:r>
      <w:r>
        <w:t xml:space="preserve"> </w:t>
      </w:r>
      <w:r>
        <w:t xml:space="preserve">); 10 – директория конкретной БД;</w:t>
      </w:r>
      <w:r>
        <w:t xml:space="preserve"> </w:t>
      </w:r>
      <w:r>
        <w:t xml:space="preserve">* dbname – имя БД (имеет смысл только при path=10). По умолчанию – предполагается текущая БД;</w:t>
      </w:r>
      <w:r>
        <w:t xml:space="preserve"> </w:t>
      </w:r>
      <w:r>
        <w:t xml:space="preserve">* filename – имя файла внешнего объекта.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”IRBIS:path,dbname,filename”….</w:t>
      </w:r>
      <w:r>
        <w:rPr>
          <w:rStyle w:val="DataTypeTok"/>
        </w:rPr>
        <w:t xml:space="preserve">&gt;</w:t>
      </w:r>
    </w:p>
    <w:p>
      <w:pPr>
        <w:pStyle w:val="FirstParagraph"/>
      </w:pPr>
      <w:r>
        <w:t xml:space="preserve">параметры path, dbname, filename имеют тот же смысл, что указано выше, и определяют ссылку на графический ресурс (картинку) в рамках ИРБИС.</w:t>
      </w:r>
    </w:p>
    <w:p>
      <w:pPr>
        <w:pStyle w:val="BodyText"/>
      </w:pPr>
      <w:r>
        <w:t xml:space="preserve">Реализуется специальная возможность для отображения штрих-кодов в HTML-форматах, а именно:</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”IRBIS:!!ШТРИХ_КОД!!”….</w:t>
      </w:r>
      <w:r>
        <w:rPr>
          <w:rStyle w:val="DataTypeTok"/>
        </w:rPr>
        <w:t xml:space="preserve">&gt;</w:t>
      </w:r>
    </w:p>
    <w:bookmarkEnd w:id="353"/>
    <w:bookmarkStart w:id="354" w:name="масштаб-страницы-html-формата-просмотра"/>
    <w:p>
      <w:pPr>
        <w:pStyle w:val="Heading2"/>
      </w:pPr>
      <w:r>
        <w:t xml:space="preserve">Масштаб страницы HTML-формата просмотра</w:t>
      </w:r>
    </w:p>
    <w:p>
      <w:pPr>
        <w:pStyle w:val="FirstParagraph"/>
      </w:pPr>
      <w:r>
        <w:t xml:space="preserve">Параметр</w:t>
      </w:r>
      <w:r>
        <w:t xml:space="preserve"> </w:t>
      </w:r>
      <w:r>
        <w:rPr>
          <w:rStyle w:val="VerbatimChar"/>
        </w:rPr>
        <w:t xml:space="preserve">ZoomPct</w:t>
      </w:r>
      <w:r>
        <w:t xml:space="preserve"> </w:t>
      </w:r>
      <w:r>
        <w:t xml:space="preserve">в секции</w:t>
      </w:r>
      <w:r>
        <w:t xml:space="preserve"> </w:t>
      </w:r>
      <w:r>
        <w:rPr>
          <w:rStyle w:val="VerbatimChar"/>
        </w:rPr>
        <w:t xml:space="preserve">[MAIN]</w:t>
      </w:r>
      <w:r>
        <w:t xml:space="preserve"> </w:t>
      </w:r>
      <w:r>
        <w:t xml:space="preserve">клиентского INI-файла задает начальный масштаб страницы для HTML-содержимого в окне формата просмотра.</w:t>
      </w:r>
    </w:p>
    <w:p>
      <w:pPr>
        <w:pStyle w:val="BodyText"/>
      </w:pPr>
      <w:r>
        <w:t xml:space="preserve">Настройка применяется в клиентских АРМах ИРБИС64 Турбо Windows, которые показывают результат формата через HTML-окно просмотра: АРМ «Каталогизатор», АРМ «Книговыдача», АРМ «Комплектатор», а также режимы корректировки, открывающие тот же просмотр HTML-содержимого.</w:t>
      </w:r>
    </w:p>
    <w:p>
      <w:pPr>
        <w:pStyle w:val="BodyText"/>
      </w:pPr>
      <w:r>
        <w:t xml:space="preserve">Значение указывается в процентах: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100</w:t>
            </w:r>
          </w:p>
        </w:tc>
        <w:tc>
          <w:tcPr/>
          <w:p>
            <w:pPr>
              <w:pStyle w:val="Compact"/>
            </w:pPr>
            <w:r>
              <w:t xml:space="preserve">Стандартный масштаб страницы.</w:t>
            </w:r>
          </w:p>
        </w:tc>
      </w:tr>
      <w:tr>
        <w:tc>
          <w:tcPr/>
          <w:p>
            <w:pPr>
              <w:pStyle w:val="Compact"/>
            </w:pPr>
            <w:r>
              <w:rPr>
                <w:rStyle w:val="VerbatimChar"/>
              </w:rPr>
              <w:t xml:space="preserve">125</w:t>
            </w:r>
          </w:p>
        </w:tc>
        <w:tc>
          <w:tcPr/>
          <w:p>
            <w:pPr>
              <w:pStyle w:val="Compact"/>
            </w:pPr>
            <w:r>
              <w:t xml:space="preserve">Страница открывается увеличенной до 125 %.</w:t>
            </w:r>
          </w:p>
        </w:tc>
      </w:tr>
      <w:tr>
        <w:tc>
          <w:tcPr/>
          <w:p>
            <w:pPr>
              <w:pStyle w:val="Compact"/>
            </w:pPr>
            <w:r>
              <w:rPr>
                <w:rStyle w:val="VerbatimChar"/>
              </w:rPr>
              <w:t xml:space="preserve">90</w:t>
            </w:r>
          </w:p>
        </w:tc>
        <w:tc>
          <w:tcPr/>
          <w:p>
            <w:pPr>
              <w:pStyle w:val="Compact"/>
            </w:pPr>
            <w:r>
              <w:t xml:space="preserve">Страница открывается уменьшенной до 90 %.</w:t>
            </w:r>
          </w:p>
        </w:tc>
      </w:tr>
    </w:tbl>
    <w:p>
      <w:pPr>
        <w:pStyle w:val="BodyText"/>
      </w:pPr>
      <w:r>
        <w:t xml:space="preserve">Пример настройки:</w:t>
      </w:r>
    </w:p>
    <w:p>
      <w:pPr>
        <w:pStyle w:val="SourceCode"/>
      </w:pPr>
      <w:r>
        <w:rPr>
          <w:rStyle w:val="KeywordTok"/>
        </w:rPr>
        <w:t xml:space="preserve">[MAIN]</w:t>
      </w:r>
      <w:r>
        <w:br/>
      </w:r>
      <w:r>
        <w:rPr>
          <w:rStyle w:val="DataTypeTok"/>
        </w:rPr>
        <w:t xml:space="preserve">ZoomPct</w:t>
      </w:r>
      <w:r>
        <w:rPr>
          <w:rStyle w:val="OtherTok"/>
        </w:rPr>
        <w:t xml:space="preserve">=</w:t>
      </w:r>
      <w:r>
        <w:rPr>
          <w:rStyle w:val="DecValTok"/>
        </w:rPr>
        <w:t xml:space="preserve">125</w:t>
      </w:r>
    </w:p>
    <w:p>
      <w:pPr>
        <w:pStyle w:val="FirstParagraph"/>
      </w:pPr>
      <w:r>
        <w:t xml:space="preserve">Параметр нужно добавлять в тот клиентский INI-файл, который использует конкретное рабочее место. Например, для АРМа «Каталогизатор» это обычно</w:t>
      </w:r>
      <w:r>
        <w:t xml:space="preserve"> </w:t>
      </w:r>
      <w:r>
        <w:rPr>
          <w:rStyle w:val="VerbatimChar"/>
        </w:rPr>
        <w:t xml:space="preserve">irbisc.ini</w:t>
      </w:r>
      <w:r>
        <w:t xml:space="preserve">, для АРМа «Книговыдача» -</w:t>
      </w:r>
      <w:r>
        <w:t xml:space="preserve"> </w:t>
      </w:r>
      <w:r>
        <w:rPr>
          <w:rStyle w:val="VerbatimChar"/>
        </w:rPr>
        <w:t xml:space="preserve">irbisb.ini</w:t>
      </w:r>
      <w:r>
        <w:t xml:space="preserve">, для АРМа «Комплектатор» -</w:t>
      </w:r>
      <w:r>
        <w:t xml:space="preserve"> </w:t>
      </w:r>
      <w:r>
        <w:rPr>
          <w:rStyle w:val="VerbatimChar"/>
        </w:rPr>
        <w:t xml:space="preserve">irbisp.ini</w:t>
      </w:r>
      <w:r>
        <w:t xml:space="preserve">.</w:t>
      </w:r>
    </w:p>
    <w:p>
      <w:pPr>
        <w:pStyle w:val="BodyText"/>
      </w:pPr>
      <w:r>
        <w:rPr>
          <w:rStyle w:val="VerbatimChar"/>
        </w:rPr>
        <w:t xml:space="preserve">ZoomPct</w:t>
      </w:r>
      <w:r>
        <w:t xml:space="preserve"> </w:t>
      </w:r>
      <w:r>
        <w:t xml:space="preserve">меняет только начальный масштаб отображения HTML-страницы в клиентском окне. Сам PFT-формат, текст результата форматирования и данные записи при этом не изменяются.</w:t>
      </w:r>
    </w:p>
    <w:p>
      <w:pPr>
        <w:pStyle w:val="BodyText"/>
      </w:pPr>
      <w:r>
        <w:t xml:space="preserve">Если формат не является HTML-форматом просмотра, параметр не управляет его выводом. После изменения INI-файла заново откройте клиентский АРМ или окно просмотра, чтобы настройка была применена.</w:t>
      </w:r>
    </w:p>
    <w:bookmarkEnd w:id="354"/>
    <w:bookmarkStart w:id="355" w:name="Xae0c7eac7f5cb80f1157de070c5c4a0220d5899"/>
    <w:p>
      <w:pPr>
        <w:pStyle w:val="Heading2"/>
      </w:pPr>
      <w:r>
        <w:t xml:space="preserve">Форматы для формально-логического контроля (ФЛК)</w:t>
      </w:r>
    </w:p>
    <w:p>
      <w:pPr>
        <w:pStyle w:val="FirstParagraph"/>
      </w:pPr>
      <w:r>
        <w:t xml:space="preserve">Для формально-логического контроля данных (как на уровне поля, так и документа в целом) применяются специальные форматы. Форматы для ФЛК используются следующим образом:</w:t>
      </w:r>
      <w:r>
        <w:t xml:space="preserve"> </w:t>
      </w:r>
      <w:r>
        <w:t xml:space="preserve">* форматированию подвергается контролируемый документ;</w:t>
      </w:r>
      <w:r>
        <w:t xml:space="preserve"> </w:t>
      </w:r>
      <w:r>
        <w:t xml:space="preserve">* первый символ результата форматирования определяет результат ФЛК, а именно:</w:t>
      </w:r>
      <w:r>
        <w:t xml:space="preserve"> </w:t>
      </w:r>
      <w:r>
        <w:t xml:space="preserve">* 0 - означает положительный результат контроля;</w:t>
      </w:r>
      <w:r>
        <w:t xml:space="preserve"> </w:t>
      </w:r>
      <w:r>
        <w:t xml:space="preserve">* 1- означает отрицательный результат и обнаруженные ошибки считаются непреодолимыми, т.е. подлежат обязательному устранению;</w:t>
      </w:r>
      <w:r>
        <w:t xml:space="preserve"> </w:t>
      </w:r>
      <w:r>
        <w:t xml:space="preserve">* 2 - означает отрицательный результат, но при этом ошибки считаются преодолимыми, т.е. их можно не исправлять.</w:t>
      </w:r>
      <w:r>
        <w:t xml:space="preserve"> </w:t>
      </w:r>
      <w:r>
        <w:t xml:space="preserve">* остальной результат форматирования (начиная со второго символа) в случае отрицательного контроля выдается пользователю в качестве сообщения.</w:t>
      </w:r>
    </w:p>
    <w:bookmarkEnd w:id="355"/>
    <w:bookmarkStart w:id="357" w:name="форматы-с-переменными-метками"/>
    <w:p>
      <w:pPr>
        <w:pStyle w:val="Heading2"/>
      </w:pPr>
      <w:r>
        <w:t xml:space="preserve">Форматы с переменными метками</w:t>
      </w:r>
    </w:p>
    <w:p>
      <w:pPr>
        <w:pStyle w:val="FirstParagraph"/>
      </w:pPr>
      <w:r>
        <w:t xml:space="preserve">В некоторых режимах работы системы применяются форматы, в которых используются, так называемые, переменные метки (например, при вводе данных через словарь – т.н. форматы для переноса данных). Исходным для таких форматов обязательно является термин словаря.</w:t>
      </w:r>
    </w:p>
    <w:p>
      <w:pPr>
        <w:pStyle w:val="BodyText"/>
      </w:pPr>
      <w:r>
        <w:t xml:space="preserve">Переменные метки обозначаются в таких форматах в виде *** (три символа «звездочка»). Форматы с переменными метками используются следующим образом:</w:t>
      </w:r>
      <w:r>
        <w:t xml:space="preserve"> </w:t>
      </w:r>
      <w:r>
        <w:t xml:space="preserve">* определяется первая ссылка для исходного термина: а именно, соответствующие номер документа (MFN), метка поля (TAG) и повторение (OCC);</w:t>
      </w:r>
      <w:r>
        <w:t xml:space="preserve"> </w:t>
      </w:r>
      <w:r>
        <w:t xml:space="preserve">* все переменные метки в формате заменяются на значение найденной метки поля (TAG) и форматированию подвергается документ с найденным номером (MFN);</w:t>
      </w:r>
      <w:r>
        <w:t xml:space="preserve"> </w:t>
      </w:r>
      <w:r>
        <w:t xml:space="preserve">* в качестве результата форматирования берется строка с номером OCC (нумерация начинается с 1); если нет строки с таким номером, результатом форматирования является пустая строка.</w:t>
      </w:r>
    </w:p>
    <w:p>
      <w:pPr>
        <w:pStyle w:val="BodyText"/>
      </w:pPr>
      <w:r>
        <w:t xml:space="preserve">В режимах корректировки АРМов «Книговыдача», «Комплектатор» и «Книгообеспеченность» при вводе через словарь пользователь может выбрать конкретную запись-источник, если выбранный термин связан с несколькими записями. Такой выбор описан в разделе</w:t>
      </w:r>
      <w:r>
        <w:t xml:space="preserve"> </w:t>
      </w:r>
      <w:hyperlink r:id="rId356">
        <w:r>
          <w:rPr>
            <w:rStyle w:val="Hyperlink"/>
          </w:rPr>
          <w:t xml:space="preserve">«Выбор записи при переносе данных из словаря»</w:t>
        </w:r>
      </w:hyperlink>
      <w:r>
        <w:t xml:space="preserve">.</w:t>
      </w:r>
    </w:p>
    <w:bookmarkEnd w:id="357"/>
    <w:bookmarkStart w:id="362" w:name="X023f48f70cc1bd84bcd0360b33dc52438370249"/>
    <w:p>
      <w:pPr>
        <w:pStyle w:val="Heading2"/>
      </w:pPr>
      <w:r>
        <w:t xml:space="preserve">Выбор записи при переносе данных из словаря</w:t>
      </w:r>
    </w:p>
    <w:p>
      <w:pPr>
        <w:pStyle w:val="FirstParagraph"/>
      </w:pPr>
      <w:r>
        <w:t xml:space="preserve">Ввод через словарь может не только вставлять выбранный термин, но и переносить данные из записи, на которую ссылается этот термин. Такой сценарий используется, когда для метода ввода задан формат переноса данных: пользователь выбирает термин словаря, а АРМ расформатирует связанную запись и подставляет полученный результат в редактируемое поле или подполе.</w:t>
      </w:r>
    </w:p>
    <w:p>
      <w:pPr>
        <w:pStyle w:val="BodyText"/>
      </w:pPr>
      <w:r>
        <w:t xml:space="preserve">Если один термин словаря связан с несколькими записями или несколькими повторениями поля, в режимах корректировки АРМов «Книговыдача», «Комплектатор» и «Книгообеспеченность» пользователь может выбрать конкретную запись-источник перед переносом. Это позволяет перенести данные из нужного документа, а не из первой найденной ссылки словаря.</w:t>
      </w:r>
    </w:p>
    <w:bookmarkStart w:id="358" w:name="как-выполняется-перенос"/>
    <w:p>
      <w:pPr>
        <w:pStyle w:val="Heading3"/>
      </w:pPr>
      <w:r>
        <w:t xml:space="preserve">1. Как выполняется перенос</w:t>
      </w:r>
    </w:p>
    <w:p>
      <w:pPr>
        <w:pStyle w:val="Compact"/>
        <w:numPr>
          <w:ilvl w:val="0"/>
          <w:numId w:val="1026"/>
        </w:numPr>
      </w:pPr>
      <w:r>
        <w:t xml:space="preserve">Пользователь открывает ввод через словарь для поля или подполя рабочего листа.</w:t>
      </w:r>
    </w:p>
    <w:p>
      <w:pPr>
        <w:pStyle w:val="Compact"/>
        <w:numPr>
          <w:ilvl w:val="0"/>
          <w:numId w:val="1026"/>
        </w:numPr>
      </w:pPr>
      <w:r>
        <w:t xml:space="preserve">АРМ получает список терминов из указанной базы данных и выбранного словаря.</w:t>
      </w:r>
    </w:p>
    <w:p>
      <w:pPr>
        <w:pStyle w:val="Compact"/>
        <w:numPr>
          <w:ilvl w:val="0"/>
          <w:numId w:val="1026"/>
        </w:numPr>
      </w:pPr>
      <w:r>
        <w:t xml:space="preserve">Если для выбранного термина найдено несколько подходящих ссылок, открывается список записей-источников.</w:t>
      </w:r>
    </w:p>
    <w:p>
      <w:pPr>
        <w:pStyle w:val="Compact"/>
        <w:numPr>
          <w:ilvl w:val="0"/>
          <w:numId w:val="1026"/>
        </w:numPr>
      </w:pPr>
      <w:r>
        <w:t xml:space="preserve">Пользователь выбирает запись, из которой нужно перенести данные.</w:t>
      </w:r>
    </w:p>
    <w:p>
      <w:pPr>
        <w:pStyle w:val="Compact"/>
        <w:numPr>
          <w:ilvl w:val="0"/>
          <w:numId w:val="1026"/>
        </w:numPr>
      </w:pPr>
      <w:r>
        <w:t xml:space="preserve">АРМ применяет формат переноса к выбранной записи и вставляет результат в редактируемый документ.</w:t>
      </w:r>
    </w:p>
    <w:p>
      <w:pPr>
        <w:pStyle w:val="FirstParagraph"/>
      </w:pPr>
      <w:r>
        <w:t xml:space="preserve">Если в настройке метода ввода имя базы данных задано символом</w:t>
      </w:r>
      <w:r>
        <w:t xml:space="preserve"> </w:t>
      </w:r>
      <w:r>
        <w:rPr>
          <w:rStyle w:val="VerbatimChar"/>
        </w:rPr>
        <w:t xml:space="preserve">*</w:t>
      </w:r>
      <w:r>
        <w:t xml:space="preserve">, база выбирается во время работы. После выбора базы дальнейший перенос выполняется по тем же правилам: термин словаря указывает на одну или несколько записей, а пользователь при необходимости выбирает запись-источник.</w:t>
      </w:r>
    </w:p>
    <w:bookmarkEnd w:id="358"/>
    <w:bookmarkStart w:id="360" w:name="формат-переноса"/>
    <w:p>
      <w:pPr>
        <w:pStyle w:val="Heading3"/>
      </w:pPr>
      <w:r>
        <w:t xml:space="preserve">2. Формат переноса</w:t>
      </w:r>
    </w:p>
    <w:p>
      <w:pPr>
        <w:pStyle w:val="FirstParagraph"/>
      </w:pPr>
      <w:r>
        <w:t xml:space="preserve">Формат переноса может использовать переменные метки</w:t>
      </w:r>
      <w:r>
        <w:t xml:space="preserve"> </w:t>
      </w:r>
      <w:r>
        <w:rPr>
          <w:rStyle w:val="VerbatimChar"/>
        </w:rPr>
        <w:t xml:space="preserve">***</w:t>
      </w:r>
      <w:r>
        <w:t xml:space="preserve">. При выполнении такого формата АРМ подставляет метку поля из выбранной ссылки словаря и расформатирует выбранную запись. Подробнее о правилах подстановки см. раздел</w:t>
      </w:r>
      <w:r>
        <w:t xml:space="preserve"> </w:t>
      </w:r>
      <w:hyperlink r:id="rId359">
        <w:r>
          <w:rPr>
            <w:rStyle w:val="Hyperlink"/>
          </w:rPr>
          <w:t xml:space="preserve">«Форматы с переменными метками»</w:t>
        </w:r>
      </w:hyperlink>
      <w:r>
        <w:t xml:space="preserve">.</w:t>
      </w:r>
    </w:p>
    <w:p>
      <w:pPr>
        <w:pStyle w:val="BodyText"/>
      </w:pPr>
      <w:r>
        <w:t xml:space="preserve">Результат форматирования может состоять из одной строки или набора строк. Если формат возвращает данные для других полей, АРМ переносит их через механизм подтверждения дополнительного ввода: пользователь видит подготовленные значения, может удалить лишние строки или изменить данные перед записью в документ.</w:t>
      </w:r>
    </w:p>
    <w:bookmarkEnd w:id="360"/>
    <w:bookmarkStart w:id="361" w:name="что-проверить-при-настройке"/>
    <w:p>
      <w:pPr>
        <w:pStyle w:val="Heading3"/>
      </w:pPr>
      <w:r>
        <w:t xml:space="preserve">3. Что проверить при настройке</w:t>
      </w:r>
    </w:p>
    <w:p>
      <w:pPr>
        <w:pStyle w:val="Compact"/>
        <w:numPr>
          <w:ilvl w:val="0"/>
          <w:numId w:val="1027"/>
        </w:numPr>
      </w:pPr>
      <w:r>
        <w:t xml:space="preserve">словарь должен быть актуализирован, чтобы выбранный термин ссылался на нужные записи;</w:t>
      </w:r>
    </w:p>
    <w:p>
      <w:pPr>
        <w:pStyle w:val="Compact"/>
        <w:numPr>
          <w:ilvl w:val="0"/>
          <w:numId w:val="1027"/>
        </w:numPr>
      </w:pPr>
      <w:r>
        <w:t xml:space="preserve">формат переноса должен возвращать данные в структуре, ожидаемой рабочим листом;</w:t>
      </w:r>
    </w:p>
    <w:p>
      <w:pPr>
        <w:pStyle w:val="Compact"/>
        <w:numPr>
          <w:ilvl w:val="0"/>
          <w:numId w:val="1027"/>
        </w:numPr>
      </w:pPr>
      <w:r>
        <w:t xml:space="preserve">если один термин может встречаться в разных записях, краткое представление записи должно помогать пользователю отличить нужный источник;</w:t>
      </w:r>
    </w:p>
    <w:p>
      <w:pPr>
        <w:pStyle w:val="Compact"/>
        <w:numPr>
          <w:ilvl w:val="0"/>
          <w:numId w:val="1027"/>
        </w:numPr>
      </w:pPr>
      <w:r>
        <w:t xml:space="preserve">при использовании базы</w:t>
      </w:r>
      <w:r>
        <w:t xml:space="preserve"> </w:t>
      </w:r>
      <w:r>
        <w:rPr>
          <w:rStyle w:val="VerbatimChar"/>
        </w:rPr>
        <w:t xml:space="preserve">*</w:t>
      </w:r>
      <w:r>
        <w:t xml:space="preserve"> </w:t>
      </w:r>
      <w:r>
        <w:t xml:space="preserve">пользователь должен выбрать ту базу, где находится запись-источник.</w:t>
      </w:r>
    </w:p>
    <w:p>
      <w:pPr>
        <w:pStyle w:val="FirstParagraph"/>
      </w:pPr>
      <w:r>
        <w:t xml:space="preserve">Если после выбора термина переносится не та запись, проверьте актуальность словаря, формат переноса и состав ссылок выбранного термина.</w:t>
      </w:r>
    </w:p>
    <w:bookmarkEnd w:id="361"/>
    <w:bookmarkEnd w:id="362"/>
    <w:bookmarkStart w:id="363" w:name="Xdb83783de9613c5c9fa24728b799b898705a33c"/>
    <w:p>
      <w:pPr>
        <w:pStyle w:val="Heading2"/>
      </w:pPr>
      <w:r>
        <w:t xml:space="preserve">Список и назначение форматов системы ИРБИС</w:t>
      </w:r>
    </w:p>
    <w:p>
      <w:pPr>
        <w:pStyle w:val="FirstParagraph"/>
      </w:pPr>
      <w:r>
        <w:t xml:space="preserve">Список и назначение основных форматов для БД IBIS и других БД Электронного каталога приведены в Таблице ниже.</w:t>
      </w:r>
    </w:p>
    <w:tbl>
      <w:tblPr>
        <w:tblStyle w:val="Table"/>
        <w:tblW w:type="pct" w:w="5000"/>
        <w:tblLayout w:type="fixed"/>
        <w:tblLook w:firstRow="1" w:lastRow="0" w:firstColumn="0" w:lastColumn="0" w:noHBand="0" w:noVBand="0" w:val="0020"/>
      </w:tblPr>
      <w:tblGrid>
        <w:gridCol w:w="139"/>
        <w:gridCol w:w="419"/>
        <w:gridCol w:w="736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p>
        </w:tc>
        <w:tc>
          <w:tcPr/>
          <w:p>
            <w:pPr>
              <w:pStyle w:val="Compact"/>
            </w:pPr>
            <w:r>
              <w:t xml:space="preserve">!110</w:t>
            </w:r>
          </w:p>
        </w:tc>
        <w:tc>
          <w:tcPr/>
          <w:p>
            <w:pPr>
              <w:pStyle w:val="Compact"/>
            </w:pPr>
            <w:r>
              <w:t xml:space="preserve">ФЛК кода вида издания</w:t>
            </w:r>
          </w:p>
        </w:tc>
      </w:tr>
      <w:tr>
        <w:tc>
          <w:tcPr/>
          <w:p>
            <w:pPr>
              <w:pStyle w:val="Compact"/>
            </w:pPr>
            <w:r>
              <w:t xml:space="preserve">5</w:t>
            </w:r>
          </w:p>
        </w:tc>
        <w:tc>
          <w:tcPr/>
          <w:p>
            <w:pPr>
              <w:pStyle w:val="Compact"/>
            </w:pPr>
            <w:r>
              <w:t xml:space="preserve">!11s</w:t>
            </w:r>
          </w:p>
        </w:tc>
        <w:tc>
          <w:tcPr/>
          <w:p>
            <w:pPr>
              <w:pStyle w:val="Compact"/>
            </w:pPr>
            <w:r>
              <w:t xml:space="preserve">ФЛК ISSN серии по модулю 11</w:t>
            </w:r>
          </w:p>
        </w:tc>
      </w:tr>
      <w:tr>
        <w:tc>
          <w:tcPr/>
          <w:p>
            <w:pPr>
              <w:pStyle w:val="Compact"/>
            </w:pPr>
            <w:r>
              <w:t xml:space="preserve">6</w:t>
            </w:r>
          </w:p>
        </w:tc>
        <w:tc>
          <w:tcPr/>
          <w:p>
            <w:pPr>
              <w:pStyle w:val="Compact"/>
            </w:pPr>
            <w:r>
              <w:t xml:space="preserve">!19</w:t>
            </w:r>
          </w:p>
        </w:tc>
        <w:tc>
          <w:tcPr/>
          <w:p>
            <w:pPr>
              <w:pStyle w:val="Compact"/>
            </w:pPr>
            <w:r>
              <w:t xml:space="preserve">ФЛК на дублетность Идентификатора нетекстового материала</w:t>
            </w:r>
          </w:p>
        </w:tc>
      </w:tr>
      <w:tr>
        <w:tc>
          <w:tcPr/>
          <w:p>
            <w:pPr>
              <w:pStyle w:val="Compact"/>
            </w:pPr>
            <w:r>
              <w:t xml:space="preserve">7</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r>
              <w:t xml:space="preserve"> </w:t>
            </w:r>
            <w:r>
              <w:t xml:space="preserve">(кроме томов многотомного издания)</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!461</w:t>
            </w:r>
          </w:p>
        </w:tc>
        <w:tc>
          <w:tcPr/>
          <w:p>
            <w:pPr>
              <w:pStyle w:val="Compact"/>
            </w:pPr>
            <w:r>
              <w:t xml:space="preserve">ФЛК ISBN и ISSN в общей части описания многотомного издания</w:t>
            </w:r>
          </w:p>
        </w:tc>
      </w:tr>
      <w:tr>
        <w:tc>
          <w:tcPr/>
          <w:p>
            <w:pPr>
              <w:pStyle w:val="Compact"/>
            </w:pPr>
            <w:r>
              <w:t xml:space="preserve">11</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12</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13</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14</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15</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16</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17</w:t>
            </w:r>
          </w:p>
        </w:tc>
        <w:tc>
          <w:tcPr/>
          <w:p>
            <w:pPr>
              <w:pStyle w:val="Compact"/>
            </w:pPr>
            <w:r>
              <w:t xml:space="preserve">!910w</w:t>
            </w:r>
          </w:p>
        </w:tc>
        <w:tc>
          <w:tcPr/>
          <w:p>
            <w:pPr>
              <w:pStyle w:val="Compact"/>
            </w:pPr>
            <w:r>
              <w:t xml:space="preserve">ФЛК поля</w:t>
            </w:r>
            <w:r>
              <w:t xml:space="preserve"> </w:t>
            </w:r>
            <w:r>
              <w:t xml:space="preserve">“Экземпляры”</w:t>
            </w:r>
            <w:r>
              <w:t xml:space="preserve"> </w:t>
            </w:r>
            <w:r>
              <w:t xml:space="preserve">в задаче</w:t>
            </w:r>
            <w:r>
              <w:t xml:space="preserve"> </w:t>
            </w:r>
            <w:r>
              <w:t xml:space="preserve">“ВЫБЫТИЕ литературы”</w:t>
            </w:r>
          </w:p>
        </w:tc>
      </w:tr>
      <w:tr>
        <w:tc>
          <w:tcPr/>
          <w:p>
            <w:pPr>
              <w:pStyle w:val="Compact"/>
            </w:pPr>
            <w:r>
              <w:t xml:space="preserve">18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19</w:t>
            </w:r>
          </w:p>
        </w:tc>
        <w:tc>
          <w:tcPr/>
          <w:p>
            <w:pPr>
              <w:pStyle w:val="Compact"/>
            </w:pPr>
            <w:r>
              <w:t xml:space="preserve">!934</w:t>
            </w:r>
          </w:p>
        </w:tc>
        <w:tc>
          <w:tcPr/>
          <w:p>
            <w:pPr>
              <w:pStyle w:val="Compact"/>
            </w:pPr>
            <w:r>
              <w:t xml:space="preserve">ФЛК поля</w:t>
            </w:r>
            <w:r>
              <w:t xml:space="preserve"> </w:t>
            </w:r>
            <w:r>
              <w:t xml:space="preserve">“Год”</w:t>
            </w:r>
            <w:r>
              <w:t xml:space="preserve"> </w:t>
            </w:r>
            <w:r>
              <w:t xml:space="preserve">в задаче</w:t>
            </w:r>
            <w:r>
              <w:t xml:space="preserve"> </w:t>
            </w:r>
            <w:r>
              <w:t xml:space="preserve">“Регистрация журналов”</w:t>
            </w:r>
          </w:p>
        </w:tc>
      </w:tr>
      <w:tr>
        <w:tc>
          <w:tcPr/>
          <w:p>
            <w:pPr>
              <w:pStyle w:val="Compact"/>
            </w:pPr>
            <w:r>
              <w:t xml:space="preserve">20</w:t>
            </w:r>
          </w:p>
        </w:tc>
        <w:tc>
          <w:tcPr/>
          <w:p>
            <w:pPr>
              <w:pStyle w:val="Compact"/>
            </w:pPr>
            <w:r>
              <w:t xml:space="preserve">!936</w:t>
            </w:r>
          </w:p>
        </w:tc>
        <w:tc>
          <w:tcPr/>
          <w:p>
            <w:pPr>
              <w:pStyle w:val="Compact"/>
            </w:pPr>
            <w:r>
              <w:t xml:space="preserve">ФЛК поля</w:t>
            </w:r>
            <w:r>
              <w:t xml:space="preserve"> </w:t>
            </w:r>
            <w:r>
              <w:t xml:space="preserve">“Номер”</w:t>
            </w:r>
            <w:r>
              <w:t xml:space="preserve"> </w:t>
            </w:r>
            <w:r>
              <w:t xml:space="preserve">в задаче</w:t>
            </w:r>
            <w:r>
              <w:t xml:space="preserve"> </w:t>
            </w:r>
            <w:r>
              <w:t xml:space="preserve">“Регистрация журналов”</w:t>
            </w:r>
          </w:p>
        </w:tc>
      </w:tr>
      <w:tr>
        <w:tc>
          <w:tcPr/>
          <w:p>
            <w:pPr>
              <w:pStyle w:val="Compact"/>
            </w:pPr>
            <w:r>
              <w:t xml:space="preserve">21</w:t>
            </w:r>
          </w:p>
        </w:tc>
        <w:tc>
          <w:tcPr/>
          <w:p>
            <w:pPr>
              <w:pStyle w:val="Compact"/>
            </w:pPr>
            <w:r>
              <w:t xml:space="preserve">!940w</w:t>
            </w:r>
          </w:p>
        </w:tc>
        <w:tc>
          <w:tcPr/>
          <w:p>
            <w:pPr>
              <w:pStyle w:val="Compact"/>
            </w:pPr>
            <w:r>
              <w:t xml:space="preserve">ФЛК поля</w:t>
            </w:r>
            <w:r>
              <w:t xml:space="preserve"> </w:t>
            </w:r>
            <w:r>
              <w:t xml:space="preserve">“Архивные данные”</w:t>
            </w:r>
            <w:r>
              <w:t xml:space="preserve"> </w:t>
            </w:r>
            <w:r>
              <w:t xml:space="preserve">в задаче</w:t>
            </w:r>
            <w:r>
              <w:t xml:space="preserve"> </w:t>
            </w:r>
            <w:r>
              <w:t xml:space="preserve">“ВЫБЫТИЕ литературы для ЦБС и ВУЗа”</w:t>
            </w:r>
          </w:p>
        </w:tc>
      </w:tr>
      <w:tr>
        <w:tc>
          <w:tcPr/>
          <w:p>
            <w:pPr>
              <w:pStyle w:val="Compact"/>
            </w:pPr>
          </w:p>
        </w:tc>
        <w:tc>
          <w:tcPr/>
          <w:p>
            <w:pPr>
              <w:pStyle w:val="Compact"/>
            </w:pPr>
            <w:r>
              <w:t xml:space="preserve">!963</w:t>
            </w:r>
          </w:p>
        </w:tc>
        <w:tc>
          <w:tcPr/>
          <w:p>
            <w:pPr>
              <w:pStyle w:val="Compact"/>
            </w:pPr>
            <w:r>
              <w:t xml:space="preserve">ФЛК автора для аналитического описания</w:t>
            </w:r>
          </w:p>
        </w:tc>
      </w:tr>
      <w:tr>
        <w:tc>
          <w:tcPr/>
          <w:p>
            <w:pPr>
              <w:pStyle w:val="Compact"/>
            </w:pPr>
            <w:r>
              <w:t xml:space="preserve">22</w:t>
            </w:r>
          </w:p>
        </w:tc>
        <w:tc>
          <w:tcPr/>
          <w:p>
            <w:pPr>
              <w:pStyle w:val="Compact"/>
            </w:pPr>
            <w:r>
              <w:t xml:space="preserve">!964</w:t>
            </w:r>
          </w:p>
        </w:tc>
        <w:tc>
          <w:tcPr/>
          <w:p>
            <w:pPr>
              <w:pStyle w:val="Compact"/>
            </w:pPr>
            <w:r>
              <w:t xml:space="preserve">ФЛК поля</w:t>
            </w:r>
            <w:r>
              <w:t xml:space="preserve"> </w:t>
            </w:r>
            <w:r>
              <w:t xml:space="preserve">“Индекс ГРНТИ”</w:t>
            </w:r>
          </w:p>
        </w:tc>
      </w:tr>
      <w:tr>
        <w:tc>
          <w:tcPr/>
          <w:p>
            <w:pPr>
              <w:pStyle w:val="Compact"/>
            </w:pPr>
            <w:r>
              <w:t xml:space="preserve">23</w:t>
            </w:r>
          </w:p>
        </w:tc>
        <w:tc>
          <w:tcPr/>
          <w:p>
            <w:pPr>
              <w:pStyle w:val="Compact"/>
            </w:pPr>
            <w:r>
              <w:t xml:space="preserve">!amovf</w:t>
            </w:r>
          </w:p>
        </w:tc>
        <w:tc>
          <w:tcPr/>
          <w:p>
            <w:pPr>
              <w:pStyle w:val="Compact"/>
            </w:pPr>
            <w:r>
              <w:t xml:space="preserve">Ввод авторов с использованием словаря (краткие данные с инвертированием ФИО) в</w:t>
            </w:r>
            <w:r>
              <w:t xml:space="preserve"> </w:t>
            </w:r>
            <w:r>
              <w:t xml:space="preserve">“Сведения об ответственности”</w:t>
            </w:r>
            <w:r>
              <w:t xml:space="preserve"> </w:t>
            </w:r>
            <w:r>
              <w:t xml:space="preserve">– в поля 200, 461, 963</w:t>
            </w:r>
          </w:p>
        </w:tc>
      </w:tr>
      <w:tr>
        <w:tc>
          <w:tcPr/>
          <w:p>
            <w:pPr>
              <w:pStyle w:val="Compact"/>
            </w:pPr>
            <w:r>
              <w:t xml:space="preserve">24</w:t>
            </w:r>
          </w:p>
        </w:tc>
        <w:tc>
          <w:tcPr/>
          <w:p>
            <w:pPr>
              <w:pStyle w:val="Compact"/>
            </w:pPr>
            <w:r>
              <w:t xml:space="preserve">!amovi</w:t>
            </w:r>
          </w:p>
        </w:tc>
        <w:tc>
          <w:tcPr/>
          <w:p>
            <w:pPr>
              <w:pStyle w:val="Compact"/>
            </w:pPr>
            <w:r>
              <w:t xml:space="preserve">Ввод авторов с использованием словаря (полные данные) – в поля 700, 701, 702</w:t>
            </w:r>
          </w:p>
        </w:tc>
      </w:tr>
      <w:tr>
        <w:tc>
          <w:tcPr/>
          <w:p>
            <w:pPr>
              <w:pStyle w:val="Compact"/>
            </w:pPr>
            <w:r>
              <w:t xml:space="preserve">25</w:t>
            </w:r>
          </w:p>
        </w:tc>
        <w:tc>
          <w:tcPr/>
          <w:p>
            <w:pPr>
              <w:pStyle w:val="Compact"/>
            </w:pPr>
            <w:r>
              <w:t xml:space="preserve">!amovik</w:t>
            </w:r>
          </w:p>
        </w:tc>
        <w:tc>
          <w:tcPr/>
          <w:p>
            <w:pPr>
              <w:pStyle w:val="Compact"/>
            </w:pPr>
            <w:r>
              <w:t xml:space="preserve">Ввод авторов с использованием словаря (краткие данные) – в поле 391</w:t>
            </w:r>
          </w:p>
        </w:tc>
      </w:tr>
      <w:tr>
        <w:tc>
          <w:tcPr/>
          <w:p>
            <w:pPr>
              <w:pStyle w:val="Compact"/>
            </w:pPr>
            <w:r>
              <w:t xml:space="preserve">26</w:t>
            </w:r>
          </w:p>
        </w:tc>
        <w:tc>
          <w:tcPr/>
          <w:p>
            <w:pPr>
              <w:pStyle w:val="Compact"/>
            </w:pPr>
            <w:r>
              <w:t xml:space="preserve">!amovip</w:t>
            </w:r>
          </w:p>
        </w:tc>
        <w:tc>
          <w:tcPr/>
          <w:p>
            <w:pPr>
              <w:pStyle w:val="Compact"/>
            </w:pPr>
            <w:r>
              <w:t xml:space="preserve">Ввод авторов с использованием словаря (неполные данные) – в поле 600</w:t>
            </w:r>
          </w:p>
        </w:tc>
      </w:tr>
      <w:tr>
        <w:tc>
          <w:tcPr/>
          <w:p>
            <w:pPr>
              <w:pStyle w:val="Compact"/>
            </w:pPr>
            <w:r>
              <w:t xml:space="preserve">27</w:t>
            </w:r>
          </w:p>
        </w:tc>
        <w:tc>
          <w:tcPr/>
          <w:p>
            <w:pPr>
              <w:pStyle w:val="Compact"/>
            </w:pPr>
            <w:r>
              <w:t xml:space="preserve">!amovmr</w:t>
            </w:r>
          </w:p>
        </w:tc>
        <w:tc>
          <w:tcPr/>
          <w:p>
            <w:pPr>
              <w:pStyle w:val="Compact"/>
            </w:pPr>
            <w:r>
              <w:t xml:space="preserve">Ввод ЭД</w:t>
            </w:r>
            <w:r>
              <w:t xml:space="preserve"> </w:t>
            </w:r>
            <w:r>
              <w:t xml:space="preserve">“Разночтение автора”</w:t>
            </w:r>
            <w:r>
              <w:t xml:space="preserve"> </w:t>
            </w:r>
            <w:r>
              <w:t xml:space="preserve">с использованием словаря</w:t>
            </w:r>
          </w:p>
        </w:tc>
      </w:tr>
      <w:tr>
        <w:tc>
          <w:tcPr/>
          <w:p>
            <w:pPr>
              <w:pStyle w:val="Compact"/>
            </w:pPr>
            <w:r>
              <w:t xml:space="preserve">28</w:t>
            </w:r>
          </w:p>
        </w:tc>
        <w:tc>
          <w:tcPr/>
          <w:p>
            <w:pPr>
              <w:pStyle w:val="Compact"/>
            </w:pPr>
            <w:r>
              <w:t xml:space="preserve">!amovo</w:t>
            </w:r>
          </w:p>
        </w:tc>
        <w:tc>
          <w:tcPr/>
          <w:p>
            <w:pPr>
              <w:pStyle w:val="Compact"/>
            </w:pPr>
            <w:r>
              <w:t xml:space="preserve">Ввод авторов с использованием словаря (краткие данные в нормализованном виде) – в поля 461, 961, 963 (автор единственный)</w:t>
            </w:r>
          </w:p>
        </w:tc>
      </w:tr>
      <w:tr>
        <w:tc>
          <w:tcPr/>
          <w:p>
            <w:pPr>
              <w:pStyle w:val="Compact"/>
            </w:pPr>
            <w:r>
              <w:t xml:space="preserve">29</w:t>
            </w:r>
          </w:p>
        </w:tc>
        <w:tc>
          <w:tcPr/>
          <w:p>
            <w:pPr>
              <w:pStyle w:val="Compact"/>
            </w:pPr>
            <w:r>
              <w:t xml:space="preserve">!amovu</w:t>
            </w:r>
          </w:p>
        </w:tc>
        <w:tc>
          <w:tcPr/>
          <w:p>
            <w:pPr>
              <w:pStyle w:val="Compact"/>
            </w:pPr>
            <w:r>
              <w:t xml:space="preserve">Ввод авторов с использованием словаря (краткие данные в нормализованном виде) – в поля 330, 454, 922, (3 подполя авторов) и 470, 481</w:t>
            </w:r>
          </w:p>
        </w:tc>
      </w:tr>
      <w:tr>
        <w:tc>
          <w:tcPr/>
          <w:p>
            <w:pPr>
              <w:pStyle w:val="Compact"/>
            </w:pPr>
            <w:r>
              <w:t xml:space="preserve">30</w:t>
            </w:r>
          </w:p>
        </w:tc>
        <w:tc>
          <w:tcPr/>
          <w:p>
            <w:pPr>
              <w:pStyle w:val="Compact"/>
            </w:pPr>
            <w:r>
              <w:t xml:space="preserve">!dmoda</w:t>
            </w:r>
          </w:p>
        </w:tc>
        <w:tc>
          <w:tcPr/>
          <w:p>
            <w:pPr>
              <w:pStyle w:val="Compact"/>
            </w:pPr>
            <w:r>
              <w:t xml:space="preserve">Корректировка документов по словарю</w:t>
            </w:r>
            <w:r>
              <w:t xml:space="preserve"> </w:t>
            </w:r>
            <w:r>
              <w:t xml:space="preserve">“Автор”</w:t>
            </w:r>
          </w:p>
        </w:tc>
      </w:tr>
      <w:tr>
        <w:tc>
          <w:tcPr/>
          <w:p>
            <w:pPr>
              <w:pStyle w:val="Compact"/>
            </w:pPr>
            <w:r>
              <w:t xml:space="preserve">31</w:t>
            </w:r>
          </w:p>
        </w:tc>
        <w:tc>
          <w:tcPr/>
          <w:p>
            <w:pPr>
              <w:pStyle w:val="Compact"/>
            </w:pPr>
            <w:r>
              <w:t xml:space="preserve">!dmodc</w:t>
            </w:r>
          </w:p>
        </w:tc>
        <w:tc>
          <w:tcPr/>
          <w:p>
            <w:pPr>
              <w:pStyle w:val="Compact"/>
            </w:pPr>
            <w:r>
              <w:t xml:space="preserve">Корректировка документов по словарю</w:t>
            </w:r>
            <w:r>
              <w:t xml:space="preserve"> </w:t>
            </w:r>
            <w:r>
              <w:t xml:space="preserve">“Страна издания”</w:t>
            </w:r>
          </w:p>
        </w:tc>
      </w:tr>
      <w:tr>
        <w:tc>
          <w:tcPr/>
          <w:p>
            <w:pPr>
              <w:pStyle w:val="Compact"/>
            </w:pPr>
            <w:r>
              <w:t xml:space="preserve">32</w:t>
            </w:r>
          </w:p>
        </w:tc>
        <w:tc>
          <w:tcPr/>
          <w:p>
            <w:pPr>
              <w:pStyle w:val="Compact"/>
            </w:pPr>
            <w:r>
              <w:t xml:space="preserve">!dmodcol</w:t>
            </w:r>
          </w:p>
        </w:tc>
        <w:tc>
          <w:tcPr/>
          <w:p>
            <w:pPr>
              <w:pStyle w:val="Compact"/>
            </w:pPr>
            <w:r>
              <w:t xml:space="preserve">Корректировка документов по словарю</w:t>
            </w:r>
            <w:r>
              <w:t xml:space="preserve"> </w:t>
            </w:r>
            <w:r>
              <w:t xml:space="preserve">“Коллектив/Мероприятие”</w:t>
            </w:r>
          </w:p>
        </w:tc>
      </w:tr>
      <w:tr>
        <w:tc>
          <w:tcPr/>
          <w:p>
            <w:pPr>
              <w:pStyle w:val="Compact"/>
            </w:pPr>
            <w:r>
              <w:t xml:space="preserve">33</w:t>
            </w:r>
          </w:p>
        </w:tc>
        <w:tc>
          <w:tcPr/>
          <w:p>
            <w:pPr>
              <w:pStyle w:val="Compact"/>
            </w:pPr>
            <w:r>
              <w:t xml:space="preserve">!dmodgeo</w:t>
            </w:r>
          </w:p>
        </w:tc>
        <w:tc>
          <w:tcPr/>
          <w:p>
            <w:pPr>
              <w:pStyle w:val="Compact"/>
            </w:pPr>
            <w:r>
              <w:t xml:space="preserve">Корректировка документов по словарю</w:t>
            </w:r>
            <w:r>
              <w:t xml:space="preserve"> </w:t>
            </w:r>
            <w:r>
              <w:t xml:space="preserve">“Географические рубрики”</w:t>
            </w:r>
          </w:p>
        </w:tc>
      </w:tr>
      <w:tr>
        <w:tc>
          <w:tcPr/>
          <w:p>
            <w:pPr>
              <w:pStyle w:val="Compact"/>
            </w:pPr>
            <w:r>
              <w:t xml:space="preserve">34</w:t>
            </w:r>
          </w:p>
        </w:tc>
        <w:tc>
          <w:tcPr/>
          <w:p>
            <w:pPr>
              <w:pStyle w:val="Compact"/>
            </w:pPr>
            <w:r>
              <w:t xml:space="preserve">!dmodhd</w:t>
            </w:r>
          </w:p>
        </w:tc>
        <w:tc>
          <w:tcPr/>
          <w:p>
            <w:pPr>
              <w:pStyle w:val="Compact"/>
            </w:pPr>
            <w:r>
              <w:t xml:space="preserve">Корректировка документов по словарю</w:t>
            </w:r>
            <w:r>
              <w:t xml:space="preserve"> </w:t>
            </w:r>
            <w:r>
              <w:t xml:space="preserve">“Характер документа”</w:t>
            </w:r>
          </w:p>
        </w:tc>
      </w:tr>
      <w:tr>
        <w:tc>
          <w:tcPr/>
          <w:p>
            <w:pPr>
              <w:pStyle w:val="Compact"/>
            </w:pPr>
            <w:r>
              <w:t xml:space="preserve">35</w:t>
            </w:r>
          </w:p>
        </w:tc>
        <w:tc>
          <w:tcPr/>
          <w:p>
            <w:pPr>
              <w:pStyle w:val="Compact"/>
            </w:pPr>
            <w:r>
              <w:t xml:space="preserve">!dmodzj</w:t>
            </w:r>
          </w:p>
        </w:tc>
        <w:tc>
          <w:tcPr/>
          <w:p>
            <w:pPr>
              <w:pStyle w:val="Compact"/>
            </w:pPr>
            <w:r>
              <w:t xml:space="preserve">Корректировка документов по словарю</w:t>
            </w:r>
            <w:r>
              <w:t xml:space="preserve"> </w:t>
            </w:r>
            <w:r>
              <w:t xml:space="preserve">“Язык”</w:t>
            </w:r>
          </w:p>
        </w:tc>
      </w:tr>
      <w:tr>
        <w:tc>
          <w:tcPr/>
          <w:p>
            <w:pPr>
              <w:pStyle w:val="Compact"/>
            </w:pPr>
            <w:r>
              <w:t xml:space="preserve">36</w:t>
            </w:r>
          </w:p>
        </w:tc>
        <w:tc>
          <w:tcPr/>
          <w:p>
            <w:pPr>
              <w:pStyle w:val="Compact"/>
            </w:pPr>
            <w:r>
              <w:t xml:space="preserve">!dmodk</w:t>
            </w:r>
          </w:p>
        </w:tc>
        <w:tc>
          <w:tcPr/>
          <w:p>
            <w:pPr>
              <w:pStyle w:val="Compact"/>
            </w:pPr>
            <w:r>
              <w:t xml:space="preserve">Корректировка документов по словарю</w:t>
            </w:r>
            <w:r>
              <w:t xml:space="preserve"> </w:t>
            </w:r>
            <w:r>
              <w:t xml:space="preserve">“Ключевые слова”</w:t>
            </w:r>
          </w:p>
        </w:tc>
      </w:tr>
      <w:tr>
        <w:tc>
          <w:tcPr/>
          <w:p>
            <w:pPr>
              <w:pStyle w:val="Compact"/>
            </w:pPr>
            <w:r>
              <w:t xml:space="preserve">37</w:t>
            </w:r>
          </w:p>
        </w:tc>
        <w:tc>
          <w:tcPr/>
          <w:p>
            <w:pPr>
              <w:pStyle w:val="Compact"/>
            </w:pPr>
            <w:r>
              <w:t xml:space="preserve">!dmodo</w:t>
            </w:r>
          </w:p>
        </w:tc>
        <w:tc>
          <w:tcPr/>
          <w:p>
            <w:pPr>
              <w:pStyle w:val="Compact"/>
            </w:pPr>
            <w:r>
              <w:t xml:space="preserve">Корректировка документов по словарю</w:t>
            </w:r>
            <w:r>
              <w:t xml:space="preserve"> </w:t>
            </w:r>
            <w:r>
              <w:t xml:space="preserve">“Издающая организация”</w:t>
            </w:r>
          </w:p>
        </w:tc>
      </w:tr>
      <w:tr>
        <w:tc>
          <w:tcPr/>
          <w:p>
            <w:pPr>
              <w:pStyle w:val="Compact"/>
            </w:pPr>
            <w:r>
              <w:t xml:space="preserve">38</w:t>
            </w:r>
          </w:p>
        </w:tc>
        <w:tc>
          <w:tcPr/>
          <w:p>
            <w:pPr>
              <w:pStyle w:val="Compact"/>
            </w:pPr>
            <w:r>
              <w:t xml:space="preserve">!dmodr</w:t>
            </w:r>
          </w:p>
        </w:tc>
        <w:tc>
          <w:tcPr/>
          <w:p>
            <w:pPr>
              <w:pStyle w:val="Compact"/>
            </w:pPr>
            <w:r>
              <w:t xml:space="preserve">Корректировка документов по словарю</w:t>
            </w:r>
            <w:r>
              <w:t xml:space="preserve"> </w:t>
            </w:r>
            <w:r>
              <w:t xml:space="preserve">“Тематический рубрикатор”</w:t>
            </w:r>
          </w:p>
        </w:tc>
      </w:tr>
      <w:tr>
        <w:tc>
          <w:tcPr/>
          <w:p>
            <w:pPr>
              <w:pStyle w:val="Compact"/>
            </w:pPr>
            <w:r>
              <w:t xml:space="preserve">39</w:t>
            </w:r>
          </w:p>
        </w:tc>
        <w:tc>
          <w:tcPr/>
          <w:p>
            <w:pPr>
              <w:pStyle w:val="Compact"/>
            </w:pPr>
            <w:r>
              <w:t xml:space="preserve">!dmodrin</w:t>
            </w:r>
          </w:p>
        </w:tc>
        <w:tc>
          <w:tcPr/>
          <w:p>
            <w:pPr>
              <w:pStyle w:val="Compact"/>
            </w:pPr>
            <w:r>
              <w:t xml:space="preserve">Корректировка документов по словарю</w:t>
            </w:r>
            <w:r>
              <w:t xml:space="preserve"> </w:t>
            </w:r>
            <w:r>
              <w:t xml:space="preserve">“Другая классификация”</w:t>
            </w:r>
          </w:p>
        </w:tc>
      </w:tr>
      <w:tr>
        <w:tc>
          <w:tcPr/>
          <w:p>
            <w:pPr>
              <w:pStyle w:val="Compact"/>
            </w:pPr>
            <w:r>
              <w:t xml:space="preserve">40</w:t>
            </w:r>
          </w:p>
        </w:tc>
        <w:tc>
          <w:tcPr/>
          <w:p>
            <w:pPr>
              <w:pStyle w:val="Compact"/>
            </w:pPr>
            <w:r>
              <w:t xml:space="preserve">!dmods</w:t>
            </w:r>
          </w:p>
        </w:tc>
        <w:tc>
          <w:tcPr/>
          <w:p>
            <w:pPr>
              <w:pStyle w:val="Compact"/>
            </w:pPr>
            <w:r>
              <w:t xml:space="preserve">Корректировка документов по словарю</w:t>
            </w:r>
            <w:r>
              <w:t xml:space="preserve"> </w:t>
            </w:r>
            <w:r>
              <w:t xml:space="preserve">“Предметные рубрики”</w:t>
            </w:r>
          </w:p>
        </w:tc>
      </w:tr>
      <w:tr>
        <w:tc>
          <w:tcPr/>
          <w:p>
            <w:pPr>
              <w:pStyle w:val="Compact"/>
            </w:pPr>
            <w:r>
              <w:t xml:space="preserve">41</w:t>
            </w:r>
          </w:p>
        </w:tc>
        <w:tc>
          <w:tcPr/>
          <w:p>
            <w:pPr>
              <w:pStyle w:val="Compact"/>
            </w:pPr>
            <w:r>
              <w:t xml:space="preserve">!dmodt</w:t>
            </w:r>
          </w:p>
        </w:tc>
        <w:tc>
          <w:tcPr/>
          <w:p>
            <w:pPr>
              <w:pStyle w:val="Compact"/>
            </w:pPr>
            <w:r>
              <w:t xml:space="preserve">Корректировка документов по словарю</w:t>
            </w:r>
            <w:r>
              <w:t xml:space="preserve"> </w:t>
            </w:r>
            <w:r>
              <w:t xml:space="preserve">“Заглавие”</w:t>
            </w:r>
          </w:p>
        </w:tc>
      </w:tr>
      <w:tr>
        <w:tc>
          <w:tcPr/>
          <w:p>
            <w:pPr>
              <w:pStyle w:val="Compact"/>
            </w:pPr>
            <w:r>
              <w:t xml:space="preserve">42</w:t>
            </w:r>
          </w:p>
        </w:tc>
        <w:tc>
          <w:tcPr/>
          <w:p>
            <w:pPr>
              <w:pStyle w:val="Compact"/>
            </w:pPr>
            <w:r>
              <w:t xml:space="preserve">!dmodu</w:t>
            </w:r>
          </w:p>
        </w:tc>
        <w:tc>
          <w:tcPr/>
          <w:p>
            <w:pPr>
              <w:pStyle w:val="Compact"/>
            </w:pPr>
            <w:r>
              <w:t xml:space="preserve">Корректировка документов по словарю</w:t>
            </w:r>
            <w:r>
              <w:t xml:space="preserve"> </w:t>
            </w:r>
            <w:r>
              <w:t xml:space="preserve">“УДК/ББК”</w:t>
            </w:r>
          </w:p>
        </w:tc>
      </w:tr>
      <w:tr>
        <w:tc>
          <w:tcPr/>
          <w:p>
            <w:pPr>
              <w:pStyle w:val="Compact"/>
            </w:pPr>
            <w:r>
              <w:t xml:space="preserve">43</w:t>
            </w:r>
          </w:p>
        </w:tc>
        <w:tc>
          <w:tcPr/>
          <w:p>
            <w:pPr>
              <w:pStyle w:val="Compact"/>
            </w:pPr>
            <w:r>
              <w:t xml:space="preserve">!f8avt</w:t>
            </w:r>
          </w:p>
        </w:tc>
        <w:tc>
          <w:tcPr/>
          <w:p>
            <w:pPr>
              <w:pStyle w:val="Compact"/>
            </w:pPr>
            <w:r>
              <w:t xml:space="preserve">Просмотр полного значения термина в словаре</w:t>
            </w:r>
            <w:r>
              <w:t xml:space="preserve"> </w:t>
            </w:r>
            <w:r>
              <w:t xml:space="preserve">“Автор”</w:t>
            </w:r>
          </w:p>
        </w:tc>
      </w:tr>
      <w:tr>
        <w:tc>
          <w:tcPr/>
          <w:p>
            <w:pPr>
              <w:pStyle w:val="Compact"/>
            </w:pPr>
            <w:r>
              <w:t xml:space="preserve">44</w:t>
            </w:r>
          </w:p>
        </w:tc>
        <w:tc>
          <w:tcPr/>
          <w:p>
            <w:pPr>
              <w:pStyle w:val="Compact"/>
            </w:pPr>
            <w:r>
              <w:t xml:space="preserve">!f8col</w:t>
            </w:r>
          </w:p>
        </w:tc>
        <w:tc>
          <w:tcPr/>
          <w:p>
            <w:pPr>
              <w:pStyle w:val="Compact"/>
            </w:pPr>
            <w:r>
              <w:t xml:space="preserve">Просмотр полного значения термина в словаре</w:t>
            </w:r>
            <w:r>
              <w:t xml:space="preserve"> </w:t>
            </w:r>
            <w:r>
              <w:t xml:space="preserve">“Коллектив/Мероприятие”</w:t>
            </w:r>
          </w:p>
        </w:tc>
      </w:tr>
      <w:tr>
        <w:tc>
          <w:tcPr/>
          <w:p>
            <w:pPr>
              <w:pStyle w:val="Compact"/>
            </w:pPr>
            <w:r>
              <w:t xml:space="preserve">45</w:t>
            </w:r>
          </w:p>
        </w:tc>
        <w:tc>
          <w:tcPr/>
          <w:p>
            <w:pPr>
              <w:pStyle w:val="Compact"/>
            </w:pPr>
            <w:r>
              <w:t xml:space="preserve">!f8org</w:t>
            </w:r>
          </w:p>
        </w:tc>
        <w:tc>
          <w:tcPr/>
          <w:p>
            <w:pPr>
              <w:pStyle w:val="Compact"/>
            </w:pPr>
            <w:r>
              <w:t xml:space="preserve">Просмотр полного значения термина в словаре</w:t>
            </w:r>
            <w:r>
              <w:t xml:space="preserve"> </w:t>
            </w:r>
            <w:r>
              <w:t xml:space="preserve">“Издающая организация”</w:t>
            </w:r>
          </w:p>
        </w:tc>
      </w:tr>
      <w:tr>
        <w:tc>
          <w:tcPr/>
          <w:p>
            <w:pPr>
              <w:pStyle w:val="Compact"/>
            </w:pPr>
            <w:r>
              <w:t xml:space="preserve">46</w:t>
            </w:r>
          </w:p>
        </w:tc>
        <w:tc>
          <w:tcPr/>
          <w:p>
            <w:pPr>
              <w:pStyle w:val="Compact"/>
            </w:pPr>
            <w:r>
              <w:t xml:space="preserve">!f8p</w:t>
            </w:r>
          </w:p>
        </w:tc>
        <w:tc>
          <w:tcPr/>
          <w:p>
            <w:pPr>
              <w:pStyle w:val="Compact"/>
            </w:pPr>
            <w:r>
              <w:t xml:space="preserve">Просмотр полного значения термина в словаре</w:t>
            </w:r>
            <w:r>
              <w:t xml:space="preserve"> </w:t>
            </w:r>
            <w:r>
              <w:t xml:space="preserve">“Персоналия”</w:t>
            </w:r>
          </w:p>
        </w:tc>
      </w:tr>
      <w:tr>
        <w:tc>
          <w:tcPr/>
          <w:p>
            <w:pPr>
              <w:pStyle w:val="Compact"/>
            </w:pPr>
            <w:r>
              <w:t xml:space="preserve">47</w:t>
            </w:r>
          </w:p>
        </w:tc>
        <w:tc>
          <w:tcPr/>
          <w:p>
            <w:pPr>
              <w:pStyle w:val="Compact"/>
            </w:pPr>
            <w:r>
              <w:t xml:space="preserve">!f8sub</w:t>
            </w:r>
          </w:p>
        </w:tc>
        <w:tc>
          <w:tcPr/>
          <w:p>
            <w:pPr>
              <w:pStyle w:val="Compact"/>
            </w:pPr>
            <w:r>
              <w:t xml:space="preserve">Просмотр полного значения термина в словарях</w:t>
            </w:r>
            <w:r>
              <w:t xml:space="preserve"> </w:t>
            </w:r>
            <w:r>
              <w:t xml:space="preserve">“Предметные рубрики”</w:t>
            </w:r>
            <w:r>
              <w:t xml:space="preserve"> </w:t>
            </w:r>
            <w:r>
              <w:t xml:space="preserve">и</w:t>
            </w:r>
            <w:r>
              <w:t xml:space="preserve"> </w:t>
            </w:r>
            <w:r>
              <w:t xml:space="preserve">“Географические рубрики”</w:t>
            </w:r>
          </w:p>
        </w:tc>
      </w:tr>
      <w:tr>
        <w:tc>
          <w:tcPr/>
          <w:p>
            <w:pPr>
              <w:pStyle w:val="Compact"/>
            </w:pPr>
            <w:r>
              <w:t xml:space="preserve">48</w:t>
            </w:r>
          </w:p>
        </w:tc>
        <w:tc>
          <w:tcPr/>
          <w:p>
            <w:pPr>
              <w:pStyle w:val="Compact"/>
            </w:pPr>
            <w:r>
              <w:t xml:space="preserve">!f8tit</w:t>
            </w:r>
          </w:p>
        </w:tc>
        <w:tc>
          <w:tcPr/>
          <w:p>
            <w:pPr>
              <w:pStyle w:val="Compact"/>
            </w:pPr>
            <w:r>
              <w:t xml:space="preserve">Просмотр полного значения термина в словаре</w:t>
            </w:r>
            <w:r>
              <w:t xml:space="preserve"> </w:t>
            </w:r>
            <w:r>
              <w:t xml:space="preserve">“Заглавие”</w:t>
            </w:r>
          </w:p>
        </w:tc>
      </w:tr>
      <w:tr>
        <w:tc>
          <w:tcPr/>
          <w:p>
            <w:pPr>
              <w:pStyle w:val="Compact"/>
            </w:pPr>
            <w:r>
              <w:t xml:space="preserve">49</w:t>
            </w:r>
          </w:p>
        </w:tc>
        <w:tc>
          <w:tcPr/>
          <w:p>
            <w:pPr>
              <w:pStyle w:val="Compact"/>
            </w:pPr>
            <w:r>
              <w:t xml:space="preserve">!kd</w:t>
            </w:r>
          </w:p>
        </w:tc>
        <w:tc>
          <w:tcPr/>
          <w:p>
            <w:pPr>
              <w:pStyle w:val="Compact"/>
            </w:pPr>
            <w:r>
              <w:t xml:space="preserve">Контроль на дублетность в РЛ PAZK и PVK</w:t>
            </w:r>
          </w:p>
        </w:tc>
      </w:tr>
      <w:tr>
        <w:tc>
          <w:tcPr/>
          <w:p>
            <w:pPr>
              <w:pStyle w:val="Compact"/>
            </w:pPr>
            <w:r>
              <w:t xml:space="preserve">50</w:t>
            </w:r>
          </w:p>
        </w:tc>
        <w:tc>
          <w:tcPr/>
          <w:p>
            <w:pPr>
              <w:pStyle w:val="Compact"/>
            </w:pPr>
            <w:r>
              <w:t xml:space="preserve">!kds</w:t>
            </w:r>
          </w:p>
        </w:tc>
        <w:tc>
          <w:tcPr/>
          <w:p>
            <w:pPr>
              <w:pStyle w:val="Compact"/>
            </w:pPr>
            <w:r>
              <w:t xml:space="preserve">Контроль на дублетность в РЛ ASP</w:t>
            </w:r>
          </w:p>
        </w:tc>
      </w:tr>
      <w:tr>
        <w:tc>
          <w:tcPr/>
          <w:p>
            <w:pPr>
              <w:pStyle w:val="Compact"/>
            </w:pPr>
            <w:r>
              <w:t xml:space="preserve">51</w:t>
            </w:r>
          </w:p>
        </w:tc>
        <w:tc>
          <w:tcPr/>
          <w:p>
            <w:pPr>
              <w:pStyle w:val="Compact"/>
            </w:pPr>
            <w:r>
              <w:t xml:space="preserve">!kdsp</w:t>
            </w:r>
          </w:p>
        </w:tc>
        <w:tc>
          <w:tcPr/>
          <w:p>
            <w:pPr>
              <w:pStyle w:val="Compact"/>
            </w:pPr>
            <w:r>
              <w:t xml:space="preserve">Контроль на дублетность в РЛ SPEC</w:t>
            </w:r>
          </w:p>
        </w:tc>
      </w:tr>
      <w:tr>
        <w:tc>
          <w:tcPr/>
          <w:p>
            <w:pPr>
              <w:pStyle w:val="Compact"/>
            </w:pPr>
            <w:r>
              <w:t xml:space="preserve">52</w:t>
            </w:r>
          </w:p>
        </w:tc>
        <w:tc>
          <w:tcPr/>
          <w:p>
            <w:pPr>
              <w:pStyle w:val="Compact"/>
            </w:pPr>
            <w:r>
              <w:t xml:space="preserve">!kdud</w:t>
            </w:r>
          </w:p>
        </w:tc>
        <w:tc>
          <w:tcPr/>
          <w:p>
            <w:pPr>
              <w:pStyle w:val="Compact"/>
            </w:pPr>
            <w:r>
              <w:t xml:space="preserve">Контроль на дублетность в РЛ AUNTD</w:t>
            </w:r>
          </w:p>
        </w:tc>
      </w:tr>
      <w:tr>
        <w:tc>
          <w:tcPr/>
          <w:p>
            <w:pPr>
              <w:pStyle w:val="Compact"/>
            </w:pPr>
            <w:r>
              <w:t xml:space="preserve">53</w:t>
            </w:r>
          </w:p>
        </w:tc>
        <w:tc>
          <w:tcPr/>
          <w:p>
            <w:pPr>
              <w:pStyle w:val="Compact"/>
            </w:pPr>
            <w:r>
              <w:t xml:space="preserve">!kkkc</w:t>
            </w:r>
          </w:p>
        </w:tc>
        <w:tc>
          <w:tcPr/>
          <w:p>
            <w:pPr>
              <w:pStyle w:val="Compact"/>
            </w:pPr>
            <w:r>
              <w:t xml:space="preserve">Ссылочная каталожная карточка</w:t>
            </w:r>
          </w:p>
        </w:tc>
      </w:tr>
      <w:tr>
        <w:tc>
          <w:tcPr/>
          <w:p>
            <w:pPr>
              <w:pStyle w:val="Compact"/>
            </w:pPr>
            <w:r>
              <w:t xml:space="preserve">54</w:t>
            </w:r>
          </w:p>
        </w:tc>
        <w:tc>
          <w:tcPr/>
          <w:p>
            <w:pPr>
              <w:pStyle w:val="Compact"/>
            </w:pPr>
            <w:r>
              <w:t xml:space="preserve">!kkkdw</w:t>
            </w:r>
          </w:p>
        </w:tc>
        <w:tc>
          <w:tcPr/>
          <w:p>
            <w:pPr>
              <w:pStyle w:val="Compact"/>
            </w:pPr>
            <w:r>
              <w:t xml:space="preserve">Добавочная каталожная карточка</w:t>
            </w:r>
          </w:p>
        </w:tc>
      </w:tr>
      <w:tr>
        <w:tc>
          <w:tcPr/>
          <w:p>
            <w:pPr>
              <w:pStyle w:val="Compact"/>
            </w:pPr>
            <w:r>
              <w:t xml:space="preserve">55</w:t>
            </w:r>
          </w:p>
        </w:tc>
        <w:tc>
          <w:tcPr/>
          <w:p>
            <w:pPr>
              <w:pStyle w:val="Compact"/>
            </w:pPr>
            <w:r>
              <w:t xml:space="preserve">!kkkfw</w:t>
            </w:r>
          </w:p>
        </w:tc>
        <w:tc>
          <w:tcPr/>
          <w:p>
            <w:pPr>
              <w:pStyle w:val="Compact"/>
            </w:pPr>
            <w:r>
              <w:t xml:space="preserve">Формуляр</w:t>
            </w:r>
          </w:p>
        </w:tc>
      </w:tr>
      <w:tr>
        <w:tc>
          <w:tcPr/>
          <w:p>
            <w:pPr>
              <w:pStyle w:val="Compact"/>
            </w:pPr>
            <w:r>
              <w:t xml:space="preserve">56</w:t>
            </w:r>
          </w:p>
        </w:tc>
        <w:tc>
          <w:tcPr/>
          <w:p>
            <w:pPr>
              <w:pStyle w:val="Compact"/>
            </w:pPr>
            <w:r>
              <w:t xml:space="preserve">!kkki</w:t>
            </w:r>
          </w:p>
        </w:tc>
        <w:tc>
          <w:tcPr/>
          <w:p>
            <w:pPr>
              <w:pStyle w:val="Compact"/>
            </w:pPr>
            <w:r>
              <w:t xml:space="preserve">Оборот каталожной карточки</w:t>
            </w:r>
          </w:p>
        </w:tc>
      </w:tr>
      <w:tr>
        <w:tc>
          <w:tcPr/>
          <w:p>
            <w:pPr>
              <w:pStyle w:val="Compact"/>
            </w:pPr>
            <w:r>
              <w:t xml:space="preserve">57</w:t>
            </w:r>
          </w:p>
        </w:tc>
        <w:tc>
          <w:tcPr/>
          <w:p>
            <w:pPr>
              <w:pStyle w:val="Compact"/>
            </w:pPr>
            <w:r>
              <w:t xml:space="preserve">!kkkow</w:t>
            </w:r>
          </w:p>
        </w:tc>
        <w:tc>
          <w:tcPr/>
          <w:p>
            <w:pPr>
              <w:pStyle w:val="Compact"/>
            </w:pPr>
            <w:r>
              <w:t xml:space="preserve">Основная каталожная карточка</w:t>
            </w:r>
          </w:p>
        </w:tc>
      </w:tr>
      <w:tr>
        <w:tc>
          <w:tcPr/>
          <w:p>
            <w:pPr>
              <w:pStyle w:val="Compact"/>
            </w:pPr>
            <w:r>
              <w:t xml:space="preserve">58</w:t>
            </w:r>
          </w:p>
        </w:tc>
        <w:tc>
          <w:tcPr/>
          <w:p>
            <w:pPr>
              <w:pStyle w:val="Compact"/>
            </w:pPr>
            <w:r>
              <w:t xml:space="preserve">!kkkt</w:t>
            </w:r>
          </w:p>
        </w:tc>
        <w:tc>
          <w:tcPr/>
          <w:p>
            <w:pPr>
              <w:pStyle w:val="Compact"/>
            </w:pPr>
            <w:r>
              <w:t xml:space="preserve">Каталожная карточка для топографического каталога</w:t>
            </w:r>
          </w:p>
        </w:tc>
      </w:tr>
      <w:tr>
        <w:tc>
          <w:tcPr/>
          <w:p>
            <w:pPr>
              <w:pStyle w:val="Compact"/>
            </w:pPr>
            <w:r>
              <w:t xml:space="preserve">59</w:t>
            </w:r>
          </w:p>
        </w:tc>
        <w:tc>
          <w:tcPr/>
          <w:p>
            <w:pPr>
              <w:pStyle w:val="Compact"/>
            </w:pPr>
            <w:r>
              <w:t xml:space="preserve">!kkkuw</w:t>
            </w:r>
          </w:p>
        </w:tc>
        <w:tc>
          <w:tcPr/>
          <w:p>
            <w:pPr>
              <w:pStyle w:val="Compact"/>
            </w:pPr>
            <w:r>
              <w:t xml:space="preserve">Каталожная карточка для систематического каталога</w:t>
            </w:r>
          </w:p>
        </w:tc>
      </w:tr>
      <w:tr>
        <w:tc>
          <w:tcPr/>
          <w:p>
            <w:pPr>
              <w:pStyle w:val="Compact"/>
            </w:pPr>
            <w:r>
              <w:t xml:space="preserve">60</w:t>
            </w:r>
          </w:p>
        </w:tc>
        <w:tc>
          <w:tcPr/>
          <w:p>
            <w:pPr>
              <w:pStyle w:val="Compact"/>
            </w:pPr>
            <w:r>
              <w:t xml:space="preserve">!mmovf</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(полные данные в</w:t>
            </w:r>
            <w:r>
              <w:t xml:space="preserve"> </w:t>
            </w:r>
            <w:r>
              <w:t xml:space="preserve">“собранном”</w:t>
            </w:r>
            <w:r>
              <w:t xml:space="preserve"> </w:t>
            </w:r>
            <w:r>
              <w:t xml:space="preserve">виде) в</w:t>
            </w:r>
            <w:r>
              <w:t xml:space="preserve"> </w:t>
            </w:r>
            <w:r>
              <w:t xml:space="preserve">“Сведения об ответственности”</w:t>
            </w:r>
            <w:r>
              <w:t xml:space="preserve"> </w:t>
            </w:r>
            <w:r>
              <w:t xml:space="preserve">- в поля 200, 961, 963</w:t>
            </w:r>
          </w:p>
        </w:tc>
      </w:tr>
      <w:tr>
        <w:tc>
          <w:tcPr/>
          <w:p>
            <w:pPr>
              <w:pStyle w:val="Compact"/>
            </w:pPr>
            <w:r>
              <w:t xml:space="preserve">61</w:t>
            </w:r>
          </w:p>
        </w:tc>
        <w:tc>
          <w:tcPr/>
          <w:p>
            <w:pPr>
              <w:pStyle w:val="Compact"/>
            </w:pPr>
            <w:r>
              <w:t xml:space="preserve">!mmovk</w:t>
            </w:r>
          </w:p>
        </w:tc>
        <w:tc>
          <w:tcPr/>
          <w:p>
            <w:pPr>
              <w:pStyle w:val="Compact"/>
            </w:pPr>
            <w:r>
              <w:t xml:space="preserve">Ввод ЭД</w:t>
            </w:r>
            <w:r>
              <w:t xml:space="preserve"> </w:t>
            </w:r>
            <w:r>
              <w:t xml:space="preserve">“Коллектив”</w:t>
            </w:r>
            <w:r>
              <w:t xml:space="preserve"> </w:t>
            </w:r>
            <w:r>
              <w:t xml:space="preserve">с использованием словаря (полные данные с разбиением ЭД по подполям) – в поля 710 (РЛ pazk), 711</w:t>
            </w:r>
          </w:p>
        </w:tc>
      </w:tr>
      <w:tr>
        <w:tc>
          <w:tcPr/>
          <w:p>
            <w:pPr>
              <w:pStyle w:val="Compact"/>
            </w:pPr>
            <w:r>
              <w:t xml:space="preserve">62</w:t>
            </w:r>
          </w:p>
        </w:tc>
        <w:tc>
          <w:tcPr/>
          <w:p>
            <w:pPr>
              <w:pStyle w:val="Compact"/>
            </w:pPr>
            <w:r>
              <w:t xml:space="preserve">!mmovo</w:t>
            </w:r>
          </w:p>
        </w:tc>
        <w:tc>
          <w:tcPr/>
          <w:p>
            <w:pPr>
              <w:pStyle w:val="Compact"/>
            </w:pPr>
            <w:r>
              <w:t xml:space="preserve">Ввод ЭД</w:t>
            </w:r>
            <w:r>
              <w:t xml:space="preserve"> </w:t>
            </w:r>
            <w:r>
              <w:t xml:space="preserve">“Коллектив/Временный коллектив”</w:t>
            </w:r>
            <w:r>
              <w:t xml:space="preserve"> </w:t>
            </w:r>
            <w:r>
              <w:t xml:space="preserve">с использованием словаря (только наименование) - в поля 225, 461</w:t>
            </w:r>
          </w:p>
        </w:tc>
      </w:tr>
      <w:tr>
        <w:tc>
          <w:tcPr/>
          <w:p>
            <w:pPr>
              <w:pStyle w:val="Compact"/>
            </w:pPr>
            <w:r>
              <w:t xml:space="preserve">63</w:t>
            </w:r>
          </w:p>
        </w:tc>
        <w:tc>
          <w:tcPr/>
          <w:p>
            <w:pPr>
              <w:pStyle w:val="Compact"/>
            </w:pPr>
            <w:r>
              <w:t xml:space="preserve">!mmovv</w:t>
            </w:r>
          </w:p>
        </w:tc>
        <w:tc>
          <w:tcPr/>
          <w:p>
            <w:pPr>
              <w:pStyle w:val="Compact"/>
            </w:pPr>
            <w:r>
              <w:t xml:space="preserve">Ввод ЭД</w:t>
            </w:r>
            <w:r>
              <w:t xml:space="preserve"> </w:t>
            </w:r>
            <w:r>
              <w:t xml:space="preserve">“Временный коллектив”</w:t>
            </w:r>
            <w:r>
              <w:t xml:space="preserve"> </w:t>
            </w:r>
            <w:r>
              <w:t xml:space="preserve">с использованием словаря (полные данные с разбиением ЭД по подполям) – в поля 710 (РЛ PVK), 971, 972</w:t>
            </w:r>
          </w:p>
        </w:tc>
      </w:tr>
      <w:tr>
        <w:tc>
          <w:tcPr/>
          <w:p>
            <w:pPr>
              <w:pStyle w:val="Compact"/>
            </w:pPr>
            <w:r>
              <w:t xml:space="preserve">64</w:t>
            </w:r>
          </w:p>
        </w:tc>
        <w:tc>
          <w:tcPr/>
          <w:p>
            <w:pPr>
              <w:pStyle w:val="Compact"/>
            </w:pPr>
            <w:r>
              <w:t xml:space="preserve">!pmovb</w:t>
            </w:r>
          </w:p>
        </w:tc>
        <w:tc>
          <w:tcPr/>
          <w:p>
            <w:pPr>
              <w:pStyle w:val="Compact"/>
            </w:pPr>
            <w:r>
              <w:t xml:space="preserve">Ввод сведений об основном документе и документе-приложении с использованием ISBN (поля 421,422)</w:t>
            </w:r>
          </w:p>
        </w:tc>
      </w:tr>
      <w:tr>
        <w:tc>
          <w:tcPr/>
          <w:p>
            <w:pPr>
              <w:pStyle w:val="Compact"/>
            </w:pPr>
            <w:r>
              <w:t xml:space="preserve">65</w:t>
            </w:r>
          </w:p>
        </w:tc>
        <w:tc>
          <w:tcPr/>
          <w:p>
            <w:pPr>
              <w:pStyle w:val="Compact"/>
            </w:pPr>
            <w:r>
              <w:t xml:space="preserve">!pmovt</w:t>
            </w:r>
          </w:p>
        </w:tc>
        <w:tc>
          <w:tcPr/>
          <w:p>
            <w:pPr>
              <w:pStyle w:val="Compact"/>
            </w:pPr>
            <w:r>
              <w:t xml:space="preserve">Ввод сведений об основном документе и документе-приложении с использованием словаря заглавий (поля 421,422)</w:t>
            </w:r>
          </w:p>
        </w:tc>
      </w:tr>
      <w:tr>
        <w:tc>
          <w:tcPr/>
          <w:p>
            <w:pPr>
              <w:pStyle w:val="Compact"/>
            </w:pPr>
            <w:r>
              <w:t xml:space="preserve">66</w:t>
            </w:r>
          </w:p>
        </w:tc>
        <w:tc>
          <w:tcPr/>
          <w:p>
            <w:pPr>
              <w:pStyle w:val="Compact"/>
            </w:pPr>
            <w:r>
              <w:t xml:space="preserve">!pmovts</w:t>
            </w:r>
          </w:p>
        </w:tc>
        <w:tc>
          <w:tcPr/>
          <w:p>
            <w:pPr>
              <w:pStyle w:val="Compact"/>
            </w:pPr>
            <w:r>
              <w:t xml:space="preserve">Ввод сведений об основном документе и документе-приложении с использованием словаря заглавий (поля 421,422) – запись J (журнал)</w:t>
            </w:r>
          </w:p>
        </w:tc>
      </w:tr>
      <w:tr>
        <w:tc>
          <w:tcPr/>
          <w:p>
            <w:pPr>
              <w:pStyle w:val="Compact"/>
            </w:pPr>
            <w:r>
              <w:t xml:space="preserve">67</w:t>
            </w:r>
          </w:p>
        </w:tc>
        <w:tc>
          <w:tcPr/>
          <w:p>
            <w:pPr>
              <w:pStyle w:val="Compact"/>
            </w:pPr>
            <w:r>
              <w:t xml:space="preserve">!pmovxs</w:t>
            </w:r>
          </w:p>
        </w:tc>
        <w:tc>
          <w:tcPr/>
          <w:p>
            <w:pPr>
              <w:pStyle w:val="Compact"/>
            </w:pPr>
            <w:r>
              <w:t xml:space="preserve">Ввод сведений об основном документе и приложении с использованием ISSN (поля 421,422) – запись J (журнал)</w:t>
            </w:r>
          </w:p>
        </w:tc>
      </w:tr>
      <w:tr>
        <w:tc>
          <w:tcPr/>
          <w:p>
            <w:pPr>
              <w:pStyle w:val="Compact"/>
            </w:pPr>
            <w:r>
              <w:t xml:space="preserve">68</w:t>
            </w:r>
          </w:p>
        </w:tc>
        <w:tc>
          <w:tcPr/>
          <w:p>
            <w:pPr>
              <w:pStyle w:val="Compact"/>
            </w:pPr>
            <w:r>
              <w:t xml:space="preserve">!pmovy</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w:t>
            </w:r>
          </w:p>
        </w:tc>
      </w:tr>
      <w:tr>
        <w:tc>
          <w:tcPr/>
          <w:p>
            <w:pPr>
              <w:pStyle w:val="Compact"/>
            </w:pPr>
            <w:r>
              <w:t xml:space="preserve">69</w:t>
            </w:r>
          </w:p>
        </w:tc>
        <w:tc>
          <w:tcPr/>
          <w:p>
            <w:pPr>
              <w:pStyle w:val="Compact"/>
            </w:pPr>
            <w:r>
              <w:t xml:space="preserve">!pmovys</w:t>
            </w:r>
          </w:p>
        </w:tc>
        <w:tc>
          <w:tcPr/>
          <w:p>
            <w:pPr>
              <w:pStyle w:val="Compact"/>
            </w:pPr>
            <w:r>
              <w:t xml:space="preserve">Ввод сведений об основном документе и документе-приложении с использованием идентификационного номера нетекстовых материалов (поля 421,422)– запись J (журнал)</w:t>
            </w:r>
          </w:p>
        </w:tc>
      </w:tr>
      <w:tr>
        <w:tc>
          <w:tcPr/>
          <w:p>
            <w:pPr>
              <w:pStyle w:val="Compact"/>
            </w:pPr>
            <w:r>
              <w:t xml:space="preserve">70</w:t>
            </w:r>
          </w:p>
        </w:tc>
        <w:tc>
          <w:tcPr/>
          <w:p>
            <w:pPr>
              <w:pStyle w:val="Compact"/>
            </w:pPr>
            <w:r>
              <w:t xml:space="preserve">!rmova</w:t>
            </w:r>
          </w:p>
        </w:tc>
        <w:tc>
          <w:tcPr/>
          <w:p>
            <w:pPr>
              <w:pStyle w:val="Compact"/>
            </w:pPr>
            <w:r>
              <w:t xml:space="preserve">Ввод сведений о рецензируемом документе с использованием словаря авторов (поле 470)</w:t>
            </w:r>
          </w:p>
        </w:tc>
      </w:tr>
      <w:tr>
        <w:tc>
          <w:tcPr/>
          <w:p>
            <w:pPr>
              <w:pStyle w:val="Compact"/>
            </w:pPr>
            <w:r>
              <w:t xml:space="preserve">71</w:t>
            </w:r>
          </w:p>
        </w:tc>
        <w:tc>
          <w:tcPr/>
          <w:p>
            <w:pPr>
              <w:pStyle w:val="Compact"/>
            </w:pPr>
            <w:r>
              <w:t xml:space="preserve">!rmovt</w:t>
            </w:r>
          </w:p>
        </w:tc>
        <w:tc>
          <w:tcPr/>
          <w:p>
            <w:pPr>
              <w:pStyle w:val="Compact"/>
            </w:pPr>
            <w:r>
              <w:t xml:space="preserve">Ввод сведений о рецензируемом документе с использованием словаря заглавий (поле 470)</w:t>
            </w:r>
          </w:p>
        </w:tc>
      </w:tr>
      <w:tr>
        <w:tc>
          <w:tcPr/>
          <w:p>
            <w:pPr>
              <w:pStyle w:val="Compact"/>
            </w:pPr>
            <w:r>
              <w:t xml:space="preserve">72</w:t>
            </w:r>
          </w:p>
        </w:tc>
        <w:tc>
          <w:tcPr/>
          <w:p>
            <w:pPr>
              <w:pStyle w:val="Compact"/>
            </w:pPr>
            <w:r>
              <w:t xml:space="preserve">!scnt1</w:t>
            </w:r>
          </w:p>
        </w:tc>
        <w:tc>
          <w:tcPr/>
          <w:p>
            <w:pPr>
              <w:pStyle w:val="Compact"/>
            </w:pPr>
            <w:r>
              <w:t xml:space="preserve">Поиск по связи</w:t>
            </w:r>
            <w:r>
              <w:t xml:space="preserve"> </w:t>
            </w:r>
            <w:r>
              <w:t xml:space="preserve">“Автор”</w:t>
            </w:r>
          </w:p>
        </w:tc>
      </w:tr>
      <w:tr>
        <w:tc>
          <w:tcPr/>
          <w:p>
            <w:pPr>
              <w:pStyle w:val="Compact"/>
            </w:pPr>
            <w:r>
              <w:t xml:space="preserve">73</w:t>
            </w:r>
          </w:p>
        </w:tc>
        <w:tc>
          <w:tcPr/>
          <w:p>
            <w:pPr>
              <w:pStyle w:val="Compact"/>
            </w:pPr>
            <w:r>
              <w:t xml:space="preserve">!scnt10</w:t>
            </w:r>
          </w:p>
        </w:tc>
        <w:tc>
          <w:tcPr/>
          <w:p>
            <w:pPr>
              <w:pStyle w:val="Compact"/>
            </w:pPr>
            <w:r>
              <w:t xml:space="preserve">Поиск по связи</w:t>
            </w:r>
            <w:r>
              <w:t xml:space="preserve"> </w:t>
            </w:r>
            <w:r>
              <w:t xml:space="preserve">“Рецензия – Рецензируемый документ”</w:t>
            </w:r>
          </w:p>
        </w:tc>
      </w:tr>
      <w:tr>
        <w:tc>
          <w:tcPr/>
          <w:p>
            <w:pPr>
              <w:pStyle w:val="Compact"/>
            </w:pPr>
            <w:r>
              <w:t xml:space="preserve">74</w:t>
            </w:r>
          </w:p>
        </w:tc>
        <w:tc>
          <w:tcPr/>
          <w:p>
            <w:pPr>
              <w:pStyle w:val="Compact"/>
            </w:pPr>
            <w:r>
              <w:t xml:space="preserve">!scnt2</w:t>
            </w:r>
          </w:p>
        </w:tc>
        <w:tc>
          <w:tcPr/>
          <w:p>
            <w:pPr>
              <w:pStyle w:val="Compact"/>
            </w:pPr>
            <w:r>
              <w:t xml:space="preserve">Поиск по связи</w:t>
            </w:r>
            <w:r>
              <w:t xml:space="preserve"> </w:t>
            </w:r>
            <w:r>
              <w:t xml:space="preserve">“Заглавие”</w:t>
            </w:r>
          </w:p>
        </w:tc>
      </w:tr>
      <w:tr>
        <w:tc>
          <w:tcPr/>
          <w:p>
            <w:pPr>
              <w:pStyle w:val="Compact"/>
            </w:pPr>
            <w:r>
              <w:t xml:space="preserve">75</w:t>
            </w:r>
          </w:p>
        </w:tc>
        <w:tc>
          <w:tcPr/>
          <w:p>
            <w:pPr>
              <w:pStyle w:val="Compact"/>
            </w:pPr>
            <w:r>
              <w:t xml:space="preserve">!scnt3</w:t>
            </w:r>
          </w:p>
        </w:tc>
        <w:tc>
          <w:tcPr/>
          <w:p>
            <w:pPr>
              <w:pStyle w:val="Compact"/>
            </w:pPr>
            <w:r>
              <w:t xml:space="preserve">Поиск по связи</w:t>
            </w:r>
            <w:r>
              <w:t xml:space="preserve"> </w:t>
            </w:r>
            <w:r>
              <w:t xml:space="preserve">“Коллектив/Мероприятие”</w:t>
            </w:r>
          </w:p>
        </w:tc>
      </w:tr>
      <w:tr>
        <w:tc>
          <w:tcPr/>
          <w:p>
            <w:pPr>
              <w:pStyle w:val="Compact"/>
            </w:pPr>
            <w:r>
              <w:t xml:space="preserve">76</w:t>
            </w:r>
          </w:p>
        </w:tc>
        <w:tc>
          <w:tcPr/>
          <w:p>
            <w:pPr>
              <w:pStyle w:val="Compact"/>
            </w:pPr>
            <w:r>
              <w:t xml:space="preserve">!scnt4</w:t>
            </w:r>
          </w:p>
        </w:tc>
        <w:tc>
          <w:tcPr/>
          <w:p>
            <w:pPr>
              <w:pStyle w:val="Compact"/>
            </w:pPr>
            <w:r>
              <w:t xml:space="preserve">Поиск по связи</w:t>
            </w:r>
            <w:r>
              <w:t xml:space="preserve"> </w:t>
            </w:r>
            <w:r>
              <w:t xml:space="preserve">“Тематический рубрикатор”</w:t>
            </w:r>
          </w:p>
        </w:tc>
      </w:tr>
      <w:tr>
        <w:tc>
          <w:tcPr/>
          <w:p>
            <w:pPr>
              <w:pStyle w:val="Compact"/>
            </w:pPr>
            <w:r>
              <w:t xml:space="preserve">77</w:t>
            </w:r>
          </w:p>
        </w:tc>
        <w:tc>
          <w:tcPr/>
          <w:p>
            <w:pPr>
              <w:pStyle w:val="Compact"/>
            </w:pPr>
            <w:r>
              <w:t xml:space="preserve">!scnt5</w:t>
            </w:r>
          </w:p>
        </w:tc>
        <w:tc>
          <w:tcPr/>
          <w:p>
            <w:pPr>
              <w:pStyle w:val="Compact"/>
            </w:pPr>
            <w:r>
              <w:t xml:space="preserve">Поиск по связи</w:t>
            </w:r>
            <w:r>
              <w:t xml:space="preserve"> </w:t>
            </w:r>
            <w:r>
              <w:t xml:space="preserve">“Предметные рубрики”</w:t>
            </w:r>
          </w:p>
        </w:tc>
      </w:tr>
      <w:tr>
        <w:tc>
          <w:tcPr/>
          <w:p>
            <w:pPr>
              <w:pStyle w:val="Compact"/>
            </w:pPr>
            <w:r>
              <w:t xml:space="preserve">78</w:t>
            </w:r>
          </w:p>
        </w:tc>
        <w:tc>
          <w:tcPr/>
          <w:p>
            <w:pPr>
              <w:pStyle w:val="Compact"/>
            </w:pPr>
            <w:r>
              <w:t xml:space="preserve">!scnt6</w:t>
            </w:r>
          </w:p>
        </w:tc>
        <w:tc>
          <w:tcPr/>
          <w:p>
            <w:pPr>
              <w:pStyle w:val="Compact"/>
            </w:pPr>
            <w:r>
              <w:t xml:space="preserve">Поиск по связи</w:t>
            </w:r>
            <w:r>
              <w:t xml:space="preserve"> </w:t>
            </w:r>
            <w:r>
              <w:t xml:space="preserve">“УДК/ББК”</w:t>
            </w:r>
          </w:p>
        </w:tc>
      </w:tr>
      <w:tr>
        <w:tc>
          <w:tcPr/>
          <w:p>
            <w:pPr>
              <w:pStyle w:val="Compact"/>
            </w:pPr>
            <w:r>
              <w:t xml:space="preserve">79</w:t>
            </w:r>
          </w:p>
        </w:tc>
        <w:tc>
          <w:tcPr/>
          <w:p>
            <w:pPr>
              <w:pStyle w:val="Compact"/>
            </w:pPr>
            <w:r>
              <w:t xml:space="preserve">!scnt7</w:t>
            </w:r>
          </w:p>
        </w:tc>
        <w:tc>
          <w:tcPr/>
          <w:p>
            <w:pPr>
              <w:pStyle w:val="Compact"/>
            </w:pPr>
            <w:r>
              <w:t xml:space="preserve">Поиск по связи</w:t>
            </w:r>
            <w:r>
              <w:t xml:space="preserve"> </w:t>
            </w:r>
            <w:r>
              <w:t xml:space="preserve">“Журнал - Номера”</w:t>
            </w:r>
          </w:p>
        </w:tc>
      </w:tr>
      <w:tr>
        <w:tc>
          <w:tcPr/>
          <w:p>
            <w:pPr>
              <w:pStyle w:val="Compact"/>
            </w:pPr>
            <w:r>
              <w:t xml:space="preserve">80</w:t>
            </w:r>
          </w:p>
        </w:tc>
        <w:tc>
          <w:tcPr/>
          <w:p>
            <w:pPr>
              <w:pStyle w:val="Compact"/>
            </w:pPr>
            <w:r>
              <w:t xml:space="preserve">!scnt8</w:t>
            </w:r>
          </w:p>
        </w:tc>
        <w:tc>
          <w:tcPr/>
          <w:p>
            <w:pPr>
              <w:pStyle w:val="Compact"/>
            </w:pPr>
            <w:r>
              <w:t xml:space="preserve">Поиск по связи</w:t>
            </w:r>
            <w:r>
              <w:t xml:space="preserve"> </w:t>
            </w:r>
            <w:r>
              <w:t xml:space="preserve">“Номер журнала – Статьи”</w:t>
            </w:r>
          </w:p>
        </w:tc>
      </w:tr>
      <w:tr>
        <w:tc>
          <w:tcPr/>
          <w:p>
            <w:pPr>
              <w:pStyle w:val="Compact"/>
            </w:pPr>
            <w:r>
              <w:t xml:space="preserve">81</w:t>
            </w:r>
          </w:p>
        </w:tc>
        <w:tc>
          <w:tcPr/>
          <w:p>
            <w:pPr>
              <w:pStyle w:val="Compact"/>
            </w:pPr>
            <w:r>
              <w:t xml:space="preserve">!scnt9</w:t>
            </w:r>
          </w:p>
        </w:tc>
        <w:tc>
          <w:tcPr/>
          <w:p>
            <w:pPr>
              <w:pStyle w:val="Compact"/>
            </w:pPr>
            <w:r>
              <w:t xml:space="preserve">Поиск по связи</w:t>
            </w:r>
            <w:r>
              <w:t xml:space="preserve"> </w:t>
            </w:r>
            <w:r>
              <w:t xml:space="preserve">“Основной документ – Приложение”</w:t>
            </w:r>
          </w:p>
        </w:tc>
      </w:tr>
      <w:tr>
        <w:tc>
          <w:tcPr/>
          <w:p>
            <w:pPr>
              <w:pStyle w:val="Compact"/>
            </w:pPr>
            <w:r>
              <w:t xml:space="preserve">82</w:t>
            </w:r>
          </w:p>
        </w:tc>
        <w:tc>
          <w:tcPr/>
          <w:p>
            <w:pPr>
              <w:pStyle w:val="Compact"/>
            </w:pPr>
            <w:r>
              <w:t xml:space="preserve">!smov</w:t>
            </w:r>
          </w:p>
        </w:tc>
        <w:tc>
          <w:tcPr/>
          <w:p>
            <w:pPr>
              <w:pStyle w:val="Compact"/>
            </w:pPr>
            <w:r>
              <w:t xml:space="preserve">Ввод Предметных и Географических рубрик с использованием словарей (поля 606, 607)</w:t>
            </w:r>
          </w:p>
        </w:tc>
      </w:tr>
      <w:tr>
        <w:tc>
          <w:tcPr/>
          <w:p>
            <w:pPr>
              <w:pStyle w:val="Compact"/>
            </w:pPr>
            <w:r>
              <w:t xml:space="preserve">83</w:t>
            </w:r>
          </w:p>
        </w:tc>
        <w:tc>
          <w:tcPr/>
          <w:p>
            <w:pPr>
              <w:pStyle w:val="Compact"/>
            </w:pPr>
            <w:r>
              <w:t xml:space="preserve">!smova</w:t>
            </w:r>
          </w:p>
        </w:tc>
        <w:tc>
          <w:tcPr/>
          <w:p>
            <w:pPr>
              <w:pStyle w:val="Compact"/>
            </w:pPr>
            <w:r>
              <w:t xml:space="preserve">Ввод сведений о Параллельном издании с использованием словаря авторов (поля 451, 452)</w:t>
            </w:r>
          </w:p>
        </w:tc>
      </w:tr>
      <w:tr>
        <w:tc>
          <w:tcPr/>
          <w:p>
            <w:pPr>
              <w:pStyle w:val="Compact"/>
            </w:pPr>
            <w:r>
              <w:t xml:space="preserve">84</w:t>
            </w:r>
          </w:p>
        </w:tc>
        <w:tc>
          <w:tcPr/>
          <w:p>
            <w:pPr>
              <w:pStyle w:val="Compact"/>
            </w:pPr>
            <w:r>
              <w:t xml:space="preserve">!smovt</w:t>
            </w:r>
          </w:p>
        </w:tc>
        <w:tc>
          <w:tcPr/>
          <w:p>
            <w:pPr>
              <w:pStyle w:val="Compact"/>
            </w:pPr>
            <w:r>
              <w:t xml:space="preserve">Ввод данных о Параллельном издании с использованием словаря заглавий (поля 451, 452)</w:t>
            </w:r>
          </w:p>
        </w:tc>
      </w:tr>
      <w:tr>
        <w:tc>
          <w:tcPr/>
          <w:p>
            <w:pPr>
              <w:pStyle w:val="Compact"/>
            </w:pPr>
            <w:r>
              <w:t xml:space="preserve">85</w:t>
            </w:r>
          </w:p>
        </w:tc>
        <w:tc>
          <w:tcPr/>
          <w:p>
            <w:pPr>
              <w:pStyle w:val="Compact"/>
            </w:pPr>
            <w:r>
              <w:t xml:space="preserve">!tmovo</w:t>
            </w:r>
          </w:p>
        </w:tc>
        <w:tc>
          <w:tcPr/>
          <w:p>
            <w:pPr>
              <w:pStyle w:val="Compact"/>
            </w:pPr>
            <w:r>
              <w:t xml:space="preserve">Ввод заглавий с использованием словаря (только наименование) - в поля 200 (для журналов), 330, 463, 481, 510, 517, 922, 923</w:t>
            </w:r>
          </w:p>
        </w:tc>
      </w:tr>
      <w:tr>
        <w:tc>
          <w:tcPr/>
          <w:p>
            <w:pPr>
              <w:pStyle w:val="Compact"/>
            </w:pPr>
            <w:r>
              <w:t xml:space="preserve">86</w:t>
            </w:r>
          </w:p>
        </w:tc>
        <w:tc>
          <w:tcPr/>
          <w:p>
            <w:pPr>
              <w:pStyle w:val="Compact"/>
            </w:pPr>
            <w:r>
              <w:t xml:space="preserve">!tmov225</w:t>
            </w:r>
          </w:p>
        </w:tc>
        <w:tc>
          <w:tcPr/>
          <w:p>
            <w:pPr>
              <w:pStyle w:val="Compact"/>
            </w:pPr>
            <w:r>
              <w:t xml:space="preserve">Ввод заглавия серии с использованием словаря (наименование и сведения об ответственности) – в поле 225</w:t>
            </w:r>
          </w:p>
        </w:tc>
      </w:tr>
      <w:tr>
        <w:tc>
          <w:tcPr/>
          <w:p>
            <w:pPr>
              <w:pStyle w:val="Compact"/>
            </w:pPr>
            <w:r>
              <w:t xml:space="preserve">87</w:t>
            </w:r>
          </w:p>
        </w:tc>
        <w:tc>
          <w:tcPr/>
          <w:p>
            <w:pPr>
              <w:pStyle w:val="Compact"/>
            </w:pPr>
            <w:r>
              <w:t xml:space="preserve">!tmov46a</w:t>
            </w:r>
          </w:p>
        </w:tc>
        <w:tc>
          <w:tcPr/>
          <w:p>
            <w:pPr>
              <w:pStyle w:val="Compact"/>
            </w:pPr>
            <w:r>
              <w:t xml:space="preserve">Ввод заглавий серии с использованием словаря – в поле 46 (сведения о серии)</w:t>
            </w:r>
          </w:p>
        </w:tc>
      </w:tr>
      <w:tr>
        <w:tc>
          <w:tcPr/>
          <w:p>
            <w:pPr>
              <w:pStyle w:val="Compact"/>
            </w:pPr>
            <w:r>
              <w:t xml:space="preserve">88</w:t>
            </w:r>
          </w:p>
        </w:tc>
        <w:tc>
          <w:tcPr/>
          <w:p>
            <w:pPr>
              <w:pStyle w:val="Compact"/>
            </w:pPr>
            <w:r>
              <w:t xml:space="preserve">!tmov46c</w:t>
            </w:r>
          </w:p>
        </w:tc>
        <w:tc>
          <w:tcPr/>
          <w:p>
            <w:pPr>
              <w:pStyle w:val="Compact"/>
            </w:pPr>
            <w:r>
              <w:t xml:space="preserve">Ввод заглавий с использованием словаря (полные данные с разбиением по подполям) – в поле 46 (сведения о предыдущем издании)</w:t>
            </w:r>
          </w:p>
        </w:tc>
      </w:tr>
      <w:tr>
        <w:tc>
          <w:tcPr/>
          <w:p>
            <w:pPr>
              <w:pStyle w:val="Compact"/>
            </w:pPr>
            <w:r>
              <w:t xml:space="preserve">89</w:t>
            </w:r>
          </w:p>
        </w:tc>
        <w:tc>
          <w:tcPr/>
          <w:p>
            <w:pPr>
              <w:pStyle w:val="Compact"/>
            </w:pPr>
            <w:r>
              <w:t xml:space="preserve">!tmov963</w:t>
            </w:r>
          </w:p>
        </w:tc>
        <w:tc>
          <w:tcPr/>
          <w:p>
            <w:pPr>
              <w:pStyle w:val="Compact"/>
            </w:pPr>
            <w:r>
              <w:t xml:space="preserve">Ввод заглавий с использованием словаря (наименование и сведения об ответственности) – в поле 963</w:t>
            </w:r>
          </w:p>
        </w:tc>
      </w:tr>
      <w:tr>
        <w:tc>
          <w:tcPr/>
          <w:p>
            <w:pPr>
              <w:pStyle w:val="Compact"/>
            </w:pPr>
            <w:r>
              <w:t xml:space="preserve">90</w:t>
            </w:r>
          </w:p>
        </w:tc>
        <w:tc>
          <w:tcPr/>
          <w:p>
            <w:pPr>
              <w:pStyle w:val="Compact"/>
            </w:pPr>
            <w:r>
              <w:t xml:space="preserve">!tmovpj</w:t>
            </w:r>
          </w:p>
        </w:tc>
        <w:tc>
          <w:tcPr/>
          <w:p>
            <w:pPr>
              <w:pStyle w:val="Compact"/>
            </w:pPr>
            <w:r>
              <w:t xml:space="preserve">Ввод заглавия с использованием словаря (полные данные с разбиением по подполям) – в поля 430,440</w:t>
            </w:r>
          </w:p>
        </w:tc>
      </w:tr>
      <w:tr>
        <w:tc>
          <w:tcPr/>
          <w:p>
            <w:pPr>
              <w:pStyle w:val="Compact"/>
            </w:pPr>
            <w:r>
              <w:t xml:space="preserve">91</w:t>
            </w:r>
          </w:p>
        </w:tc>
        <w:tc>
          <w:tcPr/>
          <w:p>
            <w:pPr>
              <w:pStyle w:val="Compact"/>
            </w:pPr>
            <w:r>
              <w:t xml:space="preserve">!tmovzh</w:t>
            </w:r>
          </w:p>
        </w:tc>
        <w:tc>
          <w:tcPr/>
          <w:p>
            <w:pPr>
              <w:pStyle w:val="Compact"/>
            </w:pPr>
            <w:r>
              <w:t xml:space="preserve">Ввод заглавий с использованием словаря (наименование и признак нехарактерного заглавия) - в поля 200 (не журналы), 461</w:t>
            </w:r>
          </w:p>
        </w:tc>
      </w:tr>
      <w:tr>
        <w:tc>
          <w:tcPr/>
          <w:p>
            <w:pPr>
              <w:pStyle w:val="Compact"/>
            </w:pPr>
            <w:r>
              <w:t xml:space="preserve">92</w:t>
            </w:r>
          </w:p>
        </w:tc>
        <w:tc>
          <w:tcPr/>
          <w:p>
            <w:pPr>
              <w:pStyle w:val="Compact"/>
            </w:pPr>
            <w:r>
              <w:t xml:space="preserve">!wkw</w:t>
            </w:r>
          </w:p>
        </w:tc>
        <w:tc>
          <w:tcPr/>
          <w:p>
            <w:pPr>
              <w:pStyle w:val="Compact"/>
            </w:pPr>
            <w:r>
              <w:t xml:space="preserve">Просмотр документа в задаче</w:t>
            </w:r>
            <w:r>
              <w:t xml:space="preserve"> </w:t>
            </w:r>
            <w:r>
              <w:t xml:space="preserve">“ВЫБЫТИЕ литературы”</w:t>
            </w:r>
          </w:p>
        </w:tc>
      </w:tr>
      <w:tr>
        <w:tc>
          <w:tcPr/>
          <w:p>
            <w:pPr>
              <w:pStyle w:val="Compact"/>
            </w:pPr>
            <w:r>
              <w:t xml:space="preserve">93</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94</w:t>
            </w:r>
          </w:p>
        </w:tc>
        <w:tc>
          <w:tcPr/>
          <w:p>
            <w:pPr>
              <w:pStyle w:val="Compact"/>
            </w:pPr>
            <w:r>
              <w:t xml:space="preserve">boko</w:t>
            </w:r>
          </w:p>
        </w:tc>
        <w:tc>
          <w:tcPr/>
          <w:p>
            <w:pPr>
              <w:pStyle w:val="Compact"/>
            </w:pPr>
            <w:r>
              <w:t xml:space="preserve">Просмотр документа в полном виде с атрибутами книгообеспеченности</w:t>
            </w:r>
          </w:p>
        </w:tc>
      </w:tr>
      <w:tr>
        <w:tc>
          <w:tcPr/>
          <w:p>
            <w:pPr>
              <w:pStyle w:val="Compact"/>
            </w:pPr>
            <w:r>
              <w:t xml:space="preserve">95</w:t>
            </w:r>
          </w:p>
        </w:tc>
        <w:tc>
          <w:tcPr/>
          <w:p>
            <w:pPr>
              <w:pStyle w:val="Compact"/>
            </w:pPr>
            <w:r>
              <w:t xml:space="preserve">brdat</w:t>
            </w:r>
          </w:p>
        </w:tc>
        <w:tc>
          <w:tcPr/>
          <w:p>
            <w:pPr>
              <w:pStyle w:val="Compact"/>
            </w:pPr>
            <w:r>
              <w:t xml:space="preserve">Просмотр документа в кратком виде, сортировка по датам (АРМ Читатель)</w:t>
            </w:r>
          </w:p>
        </w:tc>
      </w:tr>
      <w:tr>
        <w:tc>
          <w:tcPr/>
          <w:p>
            <w:pPr>
              <w:pStyle w:val="Compact"/>
            </w:pPr>
            <w:r>
              <w:t xml:space="preserve">96</w:t>
            </w:r>
          </w:p>
        </w:tc>
        <w:tc>
          <w:tcPr/>
          <w:p>
            <w:pPr>
              <w:pStyle w:val="Compact"/>
            </w:pPr>
            <w:r>
              <w:t xml:space="preserve">brf</w:t>
            </w:r>
          </w:p>
        </w:tc>
        <w:tc>
          <w:tcPr/>
          <w:p>
            <w:pPr>
              <w:pStyle w:val="Compact"/>
            </w:pPr>
            <w:r>
              <w:t xml:space="preserve">Просмотр документа в кратком виде, сортировка по заголовку БО (АРМ Читатель)</w:t>
            </w:r>
          </w:p>
        </w:tc>
      </w:tr>
      <w:tr>
        <w:tc>
          <w:tcPr/>
          <w:p>
            <w:pPr>
              <w:pStyle w:val="Compact"/>
            </w:pPr>
            <w:r>
              <w:t xml:space="preserve">97</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98</w:t>
            </w:r>
          </w:p>
        </w:tc>
        <w:tc>
          <w:tcPr/>
          <w:p>
            <w:pPr>
              <w:pStyle w:val="Compact"/>
            </w:pPr>
            <w:r>
              <w:t xml:space="preserve">briefko</w:t>
            </w:r>
          </w:p>
        </w:tc>
        <w:tc>
          <w:tcPr/>
          <w:p>
            <w:pPr>
              <w:pStyle w:val="Compact"/>
            </w:pPr>
            <w:r>
              <w:t xml:space="preserve">Просмотр документа в кратком виде с атрибутами книгообеспеченности</w:t>
            </w:r>
          </w:p>
        </w:tc>
      </w:tr>
      <w:tr>
        <w:tc>
          <w:tcPr/>
          <w:p>
            <w:pPr>
              <w:pStyle w:val="Compact"/>
            </w:pPr>
            <w:r>
              <w:t xml:space="preserve">99</w:t>
            </w:r>
          </w:p>
        </w:tc>
        <w:tc>
          <w:tcPr/>
          <w:p>
            <w:pPr>
              <w:pStyle w:val="Compact"/>
            </w:pPr>
            <w:r>
              <w:t xml:space="preserve">bryear</w:t>
            </w:r>
          </w:p>
        </w:tc>
        <w:tc>
          <w:tcPr/>
          <w:p>
            <w:pPr>
              <w:pStyle w:val="Compact"/>
            </w:pPr>
            <w:r>
              <w:t xml:space="preserve">Просмотр документа в кратком виде, сортировка по году издания (АРМ Читатель)</w:t>
            </w:r>
          </w:p>
        </w:tc>
      </w:tr>
      <w:tr>
        <w:tc>
          <w:tcPr/>
          <w:p>
            <w:pPr>
              <w:pStyle w:val="Compact"/>
            </w:pPr>
            <w:r>
              <w:t xml:space="preserve">100</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101</w:t>
            </w:r>
          </w:p>
        </w:tc>
        <w:tc>
          <w:tcPr/>
          <w:p>
            <w:pPr>
              <w:pStyle w:val="Compact"/>
            </w:pPr>
            <w:r>
              <w:t xml:space="preserve">freekz0</w:t>
            </w:r>
          </w:p>
        </w:tc>
        <w:tc>
          <w:tcPr/>
          <w:p>
            <w:pPr>
              <w:pStyle w:val="Compact"/>
            </w:pPr>
            <w:r>
              <w:t xml:space="preserve">Служебный формат – свободные экземпляры для Книговыдачи</w:t>
            </w:r>
          </w:p>
        </w:tc>
      </w:tr>
      <w:tr>
        <w:tc>
          <w:tcPr/>
          <w:p>
            <w:pPr>
              <w:pStyle w:val="Compact"/>
            </w:pPr>
            <w:r>
              <w:t xml:space="preserve">102</w:t>
            </w:r>
          </w:p>
        </w:tc>
        <w:tc>
          <w:tcPr/>
          <w:p>
            <w:pPr>
              <w:pStyle w:val="Compact"/>
            </w:pPr>
            <w:r>
              <w:t xml:space="preserve">fullw</w:t>
            </w:r>
          </w:p>
        </w:tc>
        <w:tc>
          <w:tcPr/>
          <w:p>
            <w:pPr>
              <w:pStyle w:val="Compact"/>
            </w:pPr>
            <w:r>
              <w:t xml:space="preserve">Просмотр документа на WEB – сервере</w:t>
            </w:r>
          </w:p>
        </w:tc>
      </w:tr>
      <w:tr>
        <w:tc>
          <w:tcPr/>
          <w:p>
            <w:pPr>
              <w:pStyle w:val="Compact"/>
            </w:pPr>
            <w:r>
              <w:t xml:space="preserve">103</w:t>
            </w:r>
          </w:p>
        </w:tc>
        <w:tc>
          <w:tcPr/>
          <w:p>
            <w:pPr>
              <w:pStyle w:val="Compact"/>
            </w:pPr>
            <w:r>
              <w:t xml:space="preserve">ibis922</w:t>
            </w:r>
          </w:p>
        </w:tc>
        <w:tc>
          <w:tcPr/>
          <w:p>
            <w:pPr>
              <w:pStyle w:val="Compact"/>
            </w:pPr>
            <w:r>
              <w:t xml:space="preserve">Форматирование поля 922-вложенный в полные форматы ibisw, ibiskw, kkkw, infow, persw</w:t>
            </w:r>
          </w:p>
        </w:tc>
      </w:tr>
      <w:tr>
        <w:tc>
          <w:tcPr/>
          <w:p>
            <w:pPr>
              <w:pStyle w:val="Compact"/>
            </w:pPr>
            <w:r>
              <w:t xml:space="preserve">104</w:t>
            </w:r>
          </w:p>
        </w:tc>
        <w:tc>
          <w:tcPr/>
          <w:p>
            <w:pPr>
              <w:pStyle w:val="Compact"/>
            </w:pPr>
            <w:r>
              <w:t xml:space="preserve">ibiskw</w:t>
            </w:r>
          </w:p>
        </w:tc>
        <w:tc>
          <w:tcPr/>
          <w:p>
            <w:pPr>
              <w:pStyle w:val="Compact"/>
            </w:pPr>
            <w:r>
              <w:t xml:space="preserve">Просмотр документа в полном виде из АРМ Комплектатор</w:t>
            </w:r>
          </w:p>
        </w:tc>
      </w:tr>
      <w:tr>
        <w:tc>
          <w:tcPr/>
          <w:p>
            <w:pPr>
              <w:pStyle w:val="Compact"/>
            </w:pPr>
            <w:r>
              <w:t xml:space="preserve">105</w:t>
            </w:r>
          </w:p>
        </w:tc>
        <w:tc>
          <w:tcPr/>
          <w:p>
            <w:pPr>
              <w:pStyle w:val="Compact"/>
            </w:pPr>
            <w:r>
              <w:t xml:space="preserve">ibisw</w:t>
            </w:r>
          </w:p>
        </w:tc>
        <w:tc>
          <w:tcPr/>
          <w:p>
            <w:pPr>
              <w:pStyle w:val="Compact"/>
            </w:pPr>
            <w:r>
              <w:t xml:space="preserve">Просмотр документа</w:t>
            </w:r>
            <w:r>
              <w:t xml:space="preserve"> </w:t>
            </w:r>
            <w:r>
              <w:t xml:space="preserve">“Книга”</w:t>
            </w:r>
            <w:r>
              <w:t xml:space="preserve"> </w:t>
            </w:r>
            <w:r>
              <w:t xml:space="preserve">и документа</w:t>
            </w:r>
            <w:r>
              <w:t xml:space="preserve"> </w:t>
            </w:r>
            <w:r>
              <w:t xml:space="preserve">“Статья”</w:t>
            </w:r>
            <w:r>
              <w:t xml:space="preserve"> </w:t>
            </w:r>
            <w:r>
              <w:t xml:space="preserve">в полном виде</w:t>
            </w:r>
          </w:p>
        </w:tc>
      </w:tr>
      <w:tr>
        <w:tc>
          <w:tcPr/>
          <w:p>
            <w:pPr>
              <w:pStyle w:val="Compact"/>
            </w:pPr>
            <w:r>
              <w:t xml:space="preserve">106</w:t>
            </w:r>
          </w:p>
        </w:tc>
        <w:tc>
          <w:tcPr/>
          <w:p>
            <w:pPr>
              <w:pStyle w:val="Compact"/>
            </w:pPr>
            <w:r>
              <w:t xml:space="preserve">infow</w:t>
            </w:r>
          </w:p>
        </w:tc>
        <w:tc>
          <w:tcPr/>
          <w:p>
            <w:pPr>
              <w:pStyle w:val="Compact"/>
            </w:pPr>
            <w:r>
              <w:t xml:space="preserve">Просмотр документа в информационном виде (название ЭД – данные)</w:t>
            </w:r>
          </w:p>
        </w:tc>
      </w:tr>
      <w:tr>
        <w:tc>
          <w:tcPr/>
          <w:p>
            <w:pPr>
              <w:pStyle w:val="Compact"/>
            </w:pPr>
            <w:r>
              <w:t xml:space="preserve">107</w:t>
            </w:r>
          </w:p>
        </w:tc>
        <w:tc>
          <w:tcPr/>
          <w:p>
            <w:pPr>
              <w:pStyle w:val="Compact"/>
            </w:pPr>
            <w:r>
              <w:t xml:space="preserve">inv</w:t>
            </w:r>
          </w:p>
        </w:tc>
        <w:tc>
          <w:tcPr/>
          <w:p>
            <w:pPr>
              <w:pStyle w:val="Compact"/>
            </w:pPr>
            <w:r>
              <w:t xml:space="preserve">Служебный формат для просмотра связанных записей по словарю инвентарных номеров из АРМ Комплектатор</w:t>
            </w:r>
          </w:p>
        </w:tc>
      </w:tr>
      <w:tr>
        <w:tc>
          <w:tcPr/>
          <w:p>
            <w:pPr>
              <w:pStyle w:val="Compact"/>
            </w:pPr>
            <w:r>
              <w:t xml:space="preserve">108</w:t>
            </w:r>
          </w:p>
        </w:tc>
        <w:tc>
          <w:tcPr/>
          <w:p>
            <w:pPr>
              <w:pStyle w:val="Compact"/>
            </w:pPr>
            <w:r>
              <w:t xml:space="preserve">invs</w:t>
            </w:r>
          </w:p>
        </w:tc>
        <w:tc>
          <w:tcPr/>
          <w:p>
            <w:pPr>
              <w:pStyle w:val="Compact"/>
            </w:pPr>
            <w:r>
              <w:t xml:space="preserve">Служебный формат для просмотра связанных записей по словарю сортированных инвентарных номеров из АРМ Комплектатор</w:t>
            </w:r>
          </w:p>
        </w:tc>
      </w:tr>
      <w:tr>
        <w:tc>
          <w:tcPr/>
          <w:p>
            <w:pPr>
              <w:pStyle w:val="Compact"/>
            </w:pPr>
            <w:r>
              <w:t xml:space="preserve">109</w:t>
            </w:r>
          </w:p>
        </w:tc>
        <w:tc>
          <w:tcPr/>
          <w:p>
            <w:pPr>
              <w:pStyle w:val="Compact"/>
            </w:pPr>
            <w:r>
              <w:t xml:space="preserve">jw</w:t>
            </w:r>
          </w:p>
        </w:tc>
        <w:tc>
          <w:tcPr/>
          <w:p>
            <w:pPr>
              <w:pStyle w:val="Compact"/>
            </w:pPr>
            <w:r>
              <w:t xml:space="preserve">Просмотр документа</w:t>
            </w:r>
            <w:r>
              <w:t xml:space="preserve"> </w:t>
            </w:r>
            <w:r>
              <w:t xml:space="preserve">“Журнал”</w:t>
            </w:r>
          </w:p>
        </w:tc>
      </w:tr>
      <w:tr>
        <w:tc>
          <w:tcPr/>
          <w:p>
            <w:pPr>
              <w:pStyle w:val="Compact"/>
            </w:pPr>
            <w:r>
              <w:t xml:space="preserve">110</w:t>
            </w:r>
          </w:p>
        </w:tc>
        <w:tc>
          <w:tcPr/>
          <w:p>
            <w:pPr>
              <w:pStyle w:val="Compact"/>
            </w:pPr>
            <w:r>
              <w:t xml:space="preserve">kkkw</w:t>
            </w:r>
          </w:p>
        </w:tc>
        <w:tc>
          <w:tcPr/>
          <w:p>
            <w:pPr>
              <w:pStyle w:val="Compact"/>
            </w:pPr>
            <w:r>
              <w:t xml:space="preserve">Просмотр документа в формате комплекта каталожных карточек</w:t>
            </w:r>
          </w:p>
        </w:tc>
      </w:tr>
      <w:tr>
        <w:tc>
          <w:tcPr/>
          <w:p>
            <w:pPr>
              <w:pStyle w:val="Compact"/>
            </w:pPr>
            <w:r>
              <w:t xml:space="preserve">111</w:t>
            </w:r>
          </w:p>
        </w:tc>
        <w:tc>
          <w:tcPr/>
          <w:p>
            <w:pPr>
              <w:pStyle w:val="Compact"/>
            </w:pPr>
            <w:r>
              <w:t xml:space="preserve">koupl1</w:t>
            </w:r>
          </w:p>
        </w:tc>
        <w:tc>
          <w:tcPr/>
          <w:p>
            <w:pPr>
              <w:pStyle w:val="Compact"/>
            </w:pPr>
            <w:r>
              <w:t xml:space="preserve">Для табличной формы KOUPL1 (Книгообеспеченность)</w:t>
            </w:r>
          </w:p>
        </w:tc>
      </w:tr>
      <w:tr>
        <w:tc>
          <w:tcPr/>
          <w:p>
            <w:pPr>
              <w:pStyle w:val="Compact"/>
            </w:pPr>
            <w:r>
              <w:t xml:space="preserve">112</w:t>
            </w:r>
          </w:p>
        </w:tc>
        <w:tc>
          <w:tcPr/>
          <w:p>
            <w:pPr>
              <w:pStyle w:val="Compact"/>
            </w:pPr>
            <w:r>
              <w:t xml:space="preserve">koupl1h</w:t>
            </w:r>
          </w:p>
        </w:tc>
        <w:tc>
          <w:tcPr/>
          <w:p>
            <w:pPr>
              <w:pStyle w:val="Compact"/>
            </w:pPr>
            <w:r>
              <w:t xml:space="preserve">Заголовок для табличной формы KOUPL1</w:t>
            </w:r>
          </w:p>
        </w:tc>
      </w:tr>
      <w:tr>
        <w:tc>
          <w:tcPr/>
          <w:p>
            <w:pPr>
              <w:pStyle w:val="Compact"/>
            </w:pPr>
            <w:r>
              <w:t xml:space="preserve">113</w:t>
            </w:r>
          </w:p>
        </w:tc>
        <w:tc>
          <w:tcPr/>
          <w:p>
            <w:pPr>
              <w:pStyle w:val="Compact"/>
            </w:pPr>
            <w:r>
              <w:t xml:space="preserve">land</w:t>
            </w:r>
          </w:p>
        </w:tc>
        <w:tc>
          <w:tcPr/>
          <w:p>
            <w:pPr>
              <w:pStyle w:val="Compact"/>
            </w:pPr>
            <w:r>
              <w:t xml:space="preserve">Для табличной формы LAND</w:t>
            </w:r>
            <w:r>
              <w:t xml:space="preserve"> </w:t>
            </w:r>
            <w:r>
              <w:t xml:space="preserve">“Спрашиваемость литературы”</w:t>
            </w:r>
          </w:p>
        </w:tc>
      </w:tr>
      <w:tr>
        <w:tc>
          <w:tcPr/>
          <w:p>
            <w:pPr>
              <w:pStyle w:val="Compact"/>
            </w:pPr>
            <w:r>
              <w:t xml:space="preserve">114</w:t>
            </w:r>
          </w:p>
        </w:tc>
        <w:tc>
          <w:tcPr/>
          <w:p>
            <w:pPr>
              <w:pStyle w:val="Compact"/>
            </w:pPr>
            <w:r>
              <w:t xml:space="preserve">links</w:t>
            </w:r>
          </w:p>
        </w:tc>
        <w:tc>
          <w:tcPr/>
          <w:p>
            <w:pPr>
              <w:pStyle w:val="Compact"/>
            </w:pPr>
            <w:r>
              <w:t xml:space="preserve">html-формат для повторяющегося поля 951(ссылка-внешний объект)</w:t>
            </w:r>
          </w:p>
        </w:tc>
      </w:tr>
      <w:tr>
        <w:tc>
          <w:tcPr/>
          <w:p>
            <w:pPr>
              <w:pStyle w:val="Compact"/>
            </w:pPr>
            <w:r>
              <w:t xml:space="preserve">115</w:t>
            </w:r>
          </w:p>
        </w:tc>
        <w:tc>
          <w:tcPr/>
          <w:p>
            <w:pPr>
              <w:pStyle w:val="Compact"/>
            </w:pPr>
            <w:r>
              <w:t xml:space="preserve">njtpw</w:t>
            </w:r>
          </w:p>
        </w:tc>
        <w:tc>
          <w:tcPr/>
          <w:p>
            <w:pPr>
              <w:pStyle w:val="Compact"/>
            </w:pPr>
            <w:r>
              <w:t xml:space="preserve">Просмотр документа</w:t>
            </w:r>
            <w:r>
              <w:t xml:space="preserve"> </w:t>
            </w:r>
            <w:r>
              <w:t xml:space="preserve">“Номер журнала”</w:t>
            </w:r>
            <w:r>
              <w:t xml:space="preserve"> </w:t>
            </w:r>
            <w:r>
              <w:t xml:space="preserve">в полном виде (с прохождением этапов технологического пути)</w:t>
            </w:r>
          </w:p>
        </w:tc>
      </w:tr>
      <w:tr>
        <w:tc>
          <w:tcPr/>
          <w:p>
            <w:pPr>
              <w:pStyle w:val="Compact"/>
            </w:pPr>
            <w:r>
              <w:t xml:space="preserve">116</w:t>
            </w:r>
          </w:p>
        </w:tc>
        <w:tc>
          <w:tcPr/>
          <w:p>
            <w:pPr>
              <w:pStyle w:val="Compact"/>
            </w:pPr>
            <w:r>
              <w:t xml:space="preserve">njw</w:t>
            </w:r>
          </w:p>
        </w:tc>
        <w:tc>
          <w:tcPr/>
          <w:p>
            <w:pPr>
              <w:pStyle w:val="Compact"/>
            </w:pPr>
            <w:r>
              <w:t xml:space="preserve">Просмотр документа</w:t>
            </w:r>
            <w:r>
              <w:t xml:space="preserve"> </w:t>
            </w:r>
            <w:r>
              <w:t xml:space="preserve">“Номер журнала”</w:t>
            </w:r>
            <w:r>
              <w:t xml:space="preserve"> </w:t>
            </w:r>
            <w:r>
              <w:t xml:space="preserve">в кратком виде</w:t>
            </w:r>
          </w:p>
        </w:tc>
      </w:tr>
      <w:tr>
        <w:tc>
          <w:tcPr/>
          <w:p>
            <w:pPr>
              <w:pStyle w:val="Compact"/>
            </w:pPr>
            <w:r>
              <w:t xml:space="preserve">117</w:t>
            </w:r>
          </w:p>
        </w:tc>
        <w:tc>
          <w:tcPr/>
          <w:p>
            <w:pPr>
              <w:pStyle w:val="Compact"/>
            </w:pPr>
            <w:r>
              <w:t xml:space="preserve">persw</w:t>
            </w:r>
          </w:p>
        </w:tc>
        <w:tc>
          <w:tcPr/>
          <w:p>
            <w:pPr>
              <w:pStyle w:val="Compact"/>
            </w:pPr>
            <w:r>
              <w:t xml:space="preserve">Просмотр персоналий</w:t>
            </w:r>
          </w:p>
        </w:tc>
      </w:tr>
      <w:tr>
        <w:tc>
          <w:tcPr/>
          <w:p>
            <w:pPr>
              <w:pStyle w:val="Compact"/>
            </w:pPr>
            <w:r>
              <w:t xml:space="preserve">118</w:t>
            </w:r>
          </w:p>
        </w:tc>
        <w:tc>
          <w:tcPr/>
          <w:p>
            <w:pPr>
              <w:pStyle w:val="Compact"/>
            </w:pPr>
            <w:r>
              <w:t xml:space="preserve">p288</w:t>
            </w:r>
          </w:p>
        </w:tc>
        <w:tc>
          <w:tcPr/>
          <w:p>
            <w:pPr>
              <w:pStyle w:val="Compact"/>
            </w:pPr>
            <w:r>
              <w:t xml:space="preserve">Используется в задаче</w:t>
            </w:r>
            <w:r>
              <w:t xml:space="preserve"> </w:t>
            </w:r>
            <w:r>
              <w:t xml:space="preserve">“Пополнение записи КСУ”</w:t>
            </w:r>
          </w:p>
        </w:tc>
      </w:tr>
      <w:tr>
        <w:tc>
          <w:tcPr/>
          <w:p>
            <w:pPr>
              <w:pStyle w:val="Compact"/>
            </w:pPr>
            <w:r>
              <w:t xml:space="preserve">119</w:t>
            </w:r>
          </w:p>
        </w:tc>
        <w:tc>
          <w:tcPr/>
          <w:p>
            <w:pPr>
              <w:pStyle w:val="Compact"/>
            </w:pPr>
            <w:r>
              <w:t xml:space="preserve">rmarcw</w:t>
            </w:r>
          </w:p>
        </w:tc>
        <w:tc>
          <w:tcPr/>
          <w:p>
            <w:pPr>
              <w:pStyle w:val="Compact"/>
            </w:pPr>
            <w:r>
              <w:t xml:space="preserve">Просмотр в RUSMARC</w:t>
            </w:r>
          </w:p>
        </w:tc>
      </w:tr>
      <w:tr>
        <w:tc>
          <w:tcPr/>
          <w:p>
            <w:pPr>
              <w:pStyle w:val="Compact"/>
            </w:pPr>
            <w:r>
              <w:t xml:space="preserve">120</w:t>
            </w:r>
          </w:p>
        </w:tc>
        <w:tc>
          <w:tcPr/>
          <w:p>
            <w:pPr>
              <w:pStyle w:val="Compact"/>
            </w:pPr>
            <w:r>
              <w:t xml:space="preserve">spacthw</w:t>
            </w:r>
          </w:p>
        </w:tc>
        <w:tc>
          <w:tcPr/>
          <w:p>
            <w:pPr>
              <w:pStyle w:val="Compact"/>
            </w:pPr>
            <w:r>
              <w:t xml:space="preserve">Заголовок для табличной формы SPACTW</w:t>
            </w:r>
          </w:p>
        </w:tc>
      </w:tr>
      <w:tr>
        <w:tc>
          <w:tcPr/>
          <w:p>
            <w:pPr>
              <w:pStyle w:val="Compact"/>
            </w:pPr>
            <w:r>
              <w:t xml:space="preserve">121</w:t>
            </w:r>
          </w:p>
        </w:tc>
        <w:tc>
          <w:tcPr/>
          <w:p>
            <w:pPr>
              <w:pStyle w:val="Compact"/>
            </w:pPr>
            <w:r>
              <w:t xml:space="preserve">spactw</w:t>
            </w:r>
          </w:p>
        </w:tc>
        <w:tc>
          <w:tcPr/>
          <w:p>
            <w:pPr>
              <w:pStyle w:val="Compact"/>
            </w:pPr>
            <w:r>
              <w:t xml:space="preserve">Для табличной формы SPACTW</w:t>
            </w:r>
          </w:p>
        </w:tc>
      </w:tr>
      <w:tr>
        <w:tc>
          <w:tcPr/>
          <w:p>
            <w:pPr>
              <w:pStyle w:val="Compact"/>
            </w:pPr>
            <w:r>
              <w:t xml:space="preserve">122</w:t>
            </w:r>
          </w:p>
        </w:tc>
        <w:tc>
          <w:tcPr/>
          <w:p>
            <w:pPr>
              <w:pStyle w:val="Compact"/>
            </w:pPr>
            <w:r>
              <w:t xml:space="preserve">suau</w:t>
            </w:r>
          </w:p>
        </w:tc>
        <w:tc>
          <w:tcPr/>
          <w:p>
            <w:pPr>
              <w:pStyle w:val="Compact"/>
            </w:pPr>
            <w:r>
              <w:t xml:space="preserve">Для табличной формы TABSU0 (алфавитный указатель)</w:t>
            </w:r>
          </w:p>
        </w:tc>
      </w:tr>
      <w:tr>
        <w:tc>
          <w:tcPr/>
          <w:p>
            <w:pPr>
              <w:pStyle w:val="Compact"/>
            </w:pPr>
            <w:r>
              <w:t xml:space="preserve">123</w:t>
            </w:r>
          </w:p>
        </w:tc>
        <w:tc>
          <w:tcPr/>
          <w:p>
            <w:pPr>
              <w:pStyle w:val="Compact"/>
            </w:pPr>
            <w:r>
              <w:t xml:space="preserve">sugu</w:t>
            </w:r>
          </w:p>
        </w:tc>
        <w:tc>
          <w:tcPr/>
          <w:p>
            <w:pPr>
              <w:pStyle w:val="Compact"/>
            </w:pPr>
            <w:r>
              <w:t xml:space="preserve">Для табличной формы TABSU0 (географический указатель)</w:t>
            </w:r>
          </w:p>
        </w:tc>
      </w:tr>
      <w:tr>
        <w:tc>
          <w:tcPr/>
          <w:p>
            <w:pPr>
              <w:pStyle w:val="Compact"/>
            </w:pPr>
            <w:r>
              <w:t xml:space="preserve">124</w:t>
            </w:r>
          </w:p>
        </w:tc>
        <w:tc>
          <w:tcPr/>
          <w:p>
            <w:pPr>
              <w:pStyle w:val="Compact"/>
            </w:pPr>
            <w:r>
              <w:t xml:space="preserve">suor</w:t>
            </w:r>
          </w:p>
        </w:tc>
        <w:tc>
          <w:tcPr/>
          <w:p>
            <w:pPr>
              <w:pStyle w:val="Compact"/>
            </w:pPr>
            <w:r>
              <w:t xml:space="preserve">Для табличной формы TABSU0 (основной систематический ряд)</w:t>
            </w:r>
          </w:p>
        </w:tc>
      </w:tr>
      <w:tr>
        <w:tc>
          <w:tcPr/>
          <w:p>
            <w:pPr>
              <w:pStyle w:val="Compact"/>
            </w:pPr>
            <w:r>
              <w:t xml:space="preserve">125</w:t>
            </w:r>
          </w:p>
        </w:tc>
        <w:tc>
          <w:tcPr/>
          <w:p>
            <w:pPr>
              <w:pStyle w:val="Compact"/>
            </w:pPr>
            <w:r>
              <w:t xml:space="preserve">sumiw</w:t>
            </w:r>
          </w:p>
        </w:tc>
        <w:tc>
          <w:tcPr/>
          <w:p>
            <w:pPr>
              <w:pStyle w:val="Compact"/>
            </w:pPr>
            <w:r>
              <w:t xml:space="preserve">Используется при получении табличных форм TABWPW и TACTIW (Задача</w:t>
            </w:r>
            <w:r>
              <w:t xml:space="preserve"> </w:t>
            </w:r>
            <w:r>
              <w:t xml:space="preserve">“ВЫБЫТИЕ литературы”</w:t>
            </w:r>
            <w:r>
              <w:t xml:space="preserve">)</w:t>
            </w:r>
          </w:p>
        </w:tc>
      </w:tr>
      <w:tr>
        <w:tc>
          <w:tcPr/>
          <w:p>
            <w:pPr>
              <w:pStyle w:val="Compact"/>
            </w:pPr>
            <w:r>
              <w:t xml:space="preserve">126</w:t>
            </w:r>
          </w:p>
        </w:tc>
        <w:tc>
          <w:tcPr/>
          <w:p>
            <w:pPr>
              <w:pStyle w:val="Compact"/>
            </w:pPr>
            <w:r>
              <w:t xml:space="preserve">sumww</w:t>
            </w:r>
          </w:p>
        </w:tc>
        <w:tc>
          <w:tcPr/>
          <w:p>
            <w:pPr>
              <w:pStyle w:val="Compact"/>
            </w:pPr>
            <w:r>
              <w:t xml:space="preserve">Используется при получении табличной формы TABWPW (Задача</w:t>
            </w:r>
            <w:r>
              <w:t xml:space="preserve"> </w:t>
            </w:r>
            <w:r>
              <w:t xml:space="preserve">“ВЫБЫТИЕ литературы”</w:t>
            </w:r>
            <w:r>
              <w:t xml:space="preserve">)</w:t>
            </w:r>
          </w:p>
        </w:tc>
      </w:tr>
      <w:tr>
        <w:tc>
          <w:tcPr/>
          <w:p>
            <w:pPr>
              <w:pStyle w:val="Compact"/>
            </w:pPr>
            <w:r>
              <w:t xml:space="preserve">127</w:t>
            </w:r>
          </w:p>
        </w:tc>
        <w:tc>
          <w:tcPr/>
          <w:p>
            <w:pPr>
              <w:pStyle w:val="Compact"/>
            </w:pPr>
            <w:r>
              <w:t xml:space="preserve">tab4bhw</w:t>
            </w:r>
          </w:p>
        </w:tc>
        <w:tc>
          <w:tcPr/>
          <w:p>
            <w:pPr>
              <w:pStyle w:val="Compact"/>
            </w:pPr>
            <w:r>
              <w:t xml:space="preserve">Заголовок для табличной формы TAB4BW</w:t>
            </w:r>
          </w:p>
        </w:tc>
      </w:tr>
      <w:tr>
        <w:tc>
          <w:tcPr/>
          <w:p>
            <w:pPr>
              <w:pStyle w:val="Compact"/>
            </w:pPr>
            <w:r>
              <w:t xml:space="preserve">128</w:t>
            </w:r>
          </w:p>
        </w:tc>
        <w:tc>
          <w:tcPr/>
          <w:p>
            <w:pPr>
              <w:pStyle w:val="Compact"/>
            </w:pPr>
            <w:r>
              <w:t xml:space="preserve">tab4bw</w:t>
            </w:r>
          </w:p>
        </w:tc>
        <w:tc>
          <w:tcPr/>
          <w:p>
            <w:pPr>
              <w:pStyle w:val="Compact"/>
            </w:pPr>
            <w:r>
              <w:t xml:space="preserve">Для табличной формы TAB4BW</w:t>
            </w:r>
          </w:p>
        </w:tc>
      </w:tr>
      <w:tr>
        <w:tc>
          <w:tcPr/>
          <w:p>
            <w:pPr>
              <w:pStyle w:val="Compact"/>
            </w:pPr>
            <w:r>
              <w:t xml:space="preserve">129</w:t>
            </w:r>
          </w:p>
        </w:tc>
        <w:tc>
          <w:tcPr/>
          <w:p>
            <w:pPr>
              <w:pStyle w:val="Compact"/>
            </w:pPr>
            <w:r>
              <w:t xml:space="preserve">tab4ohw</w:t>
            </w:r>
          </w:p>
        </w:tc>
        <w:tc>
          <w:tcPr/>
          <w:p>
            <w:pPr>
              <w:pStyle w:val="Compact"/>
            </w:pPr>
            <w:r>
              <w:t xml:space="preserve">Заголовок для табличной формы TAB4OW</w:t>
            </w:r>
          </w:p>
        </w:tc>
      </w:tr>
      <w:tr>
        <w:tc>
          <w:tcPr/>
          <w:p>
            <w:pPr>
              <w:pStyle w:val="Compact"/>
            </w:pPr>
            <w:r>
              <w:t xml:space="preserve">130</w:t>
            </w:r>
          </w:p>
        </w:tc>
        <w:tc>
          <w:tcPr/>
          <w:p>
            <w:pPr>
              <w:pStyle w:val="Compact"/>
            </w:pPr>
            <w:r>
              <w:t xml:space="preserve">tab4ow</w:t>
            </w:r>
          </w:p>
        </w:tc>
        <w:tc>
          <w:tcPr/>
          <w:p>
            <w:pPr>
              <w:pStyle w:val="Compact"/>
            </w:pPr>
            <w:r>
              <w:t xml:space="preserve">Для табличной формы TAB4OW</w:t>
            </w:r>
          </w:p>
        </w:tc>
      </w:tr>
      <w:tr>
        <w:tc>
          <w:tcPr/>
          <w:p>
            <w:pPr>
              <w:pStyle w:val="Compact"/>
            </w:pPr>
            <w:r>
              <w:t xml:space="preserve">131</w:t>
            </w:r>
          </w:p>
        </w:tc>
        <w:tc>
          <w:tcPr/>
          <w:p>
            <w:pPr>
              <w:pStyle w:val="Compact"/>
            </w:pPr>
            <w:r>
              <w:t xml:space="preserve">tabbaw</w:t>
            </w:r>
          </w:p>
        </w:tc>
        <w:tc>
          <w:tcPr/>
          <w:p>
            <w:pPr>
              <w:pStyle w:val="Compact"/>
            </w:pPr>
            <w:r>
              <w:t xml:space="preserve">Для табличной формы TABBAW</w:t>
            </w:r>
          </w:p>
        </w:tc>
      </w:tr>
      <w:tr>
        <w:tc>
          <w:tcPr/>
          <w:p>
            <w:pPr>
              <w:pStyle w:val="Compact"/>
            </w:pPr>
            <w:r>
              <w:t xml:space="preserve">132</w:t>
            </w:r>
          </w:p>
        </w:tc>
        <w:tc>
          <w:tcPr/>
          <w:p>
            <w:pPr>
              <w:pStyle w:val="Compact"/>
            </w:pPr>
            <w:r>
              <w:t xml:space="preserve">tabbnw</w:t>
            </w:r>
          </w:p>
        </w:tc>
        <w:tc>
          <w:tcPr/>
          <w:p>
            <w:pPr>
              <w:pStyle w:val="Compact"/>
            </w:pPr>
            <w:r>
              <w:t xml:space="preserve">Для табличной формы TABBNW</w:t>
            </w:r>
          </w:p>
        </w:tc>
      </w:tr>
      <w:tr>
        <w:tc>
          <w:tcPr/>
          <w:p>
            <w:pPr>
              <w:pStyle w:val="Compact"/>
            </w:pPr>
            <w:r>
              <w:t xml:space="preserve">133</w:t>
            </w:r>
          </w:p>
        </w:tc>
        <w:tc>
          <w:tcPr/>
          <w:p>
            <w:pPr>
              <w:pStyle w:val="Compact"/>
            </w:pPr>
            <w:r>
              <w:t xml:space="preserve">tabbuw</w:t>
            </w:r>
          </w:p>
        </w:tc>
        <w:tc>
          <w:tcPr/>
          <w:p>
            <w:pPr>
              <w:pStyle w:val="Compact"/>
            </w:pPr>
            <w:r>
              <w:t xml:space="preserve">Для табличной формы TABBUW</w:t>
            </w:r>
          </w:p>
        </w:tc>
      </w:tr>
      <w:tr>
        <w:tc>
          <w:tcPr/>
          <w:p>
            <w:pPr>
              <w:pStyle w:val="Compact"/>
            </w:pPr>
            <w:r>
              <w:t xml:space="preserve">134</w:t>
            </w:r>
          </w:p>
        </w:tc>
        <w:tc>
          <w:tcPr/>
          <w:p>
            <w:pPr>
              <w:pStyle w:val="Compact"/>
            </w:pPr>
            <w:r>
              <w:t xml:space="preserve">tabdfhw</w:t>
            </w:r>
          </w:p>
        </w:tc>
        <w:tc>
          <w:tcPr/>
          <w:p>
            <w:pPr>
              <w:pStyle w:val="Compact"/>
            </w:pPr>
            <w:r>
              <w:t xml:space="preserve">Заголовок для табличной формы TABDFW (Задача</w:t>
            </w:r>
            <w:r>
              <w:t xml:space="preserve"> </w:t>
            </w:r>
            <w:r>
              <w:t xml:space="preserve">“ВЫБЫТИЕ литературы”</w:t>
            </w:r>
            <w:r>
              <w:t xml:space="preserve">)</w:t>
            </w:r>
          </w:p>
        </w:tc>
      </w:tr>
      <w:tr>
        <w:tc>
          <w:tcPr/>
          <w:p>
            <w:pPr>
              <w:pStyle w:val="Compact"/>
            </w:pPr>
            <w:r>
              <w:t xml:space="preserve">135</w:t>
            </w:r>
          </w:p>
        </w:tc>
        <w:tc>
          <w:tcPr/>
          <w:p>
            <w:pPr>
              <w:pStyle w:val="Compact"/>
            </w:pPr>
            <w:r>
              <w:t xml:space="preserve">tabdfw</w:t>
            </w:r>
          </w:p>
        </w:tc>
        <w:tc>
          <w:tcPr/>
          <w:p>
            <w:pPr>
              <w:pStyle w:val="Compact"/>
            </w:pPr>
            <w:r>
              <w:t xml:space="preserve">Для табличной формы TABDFW (Задача</w:t>
            </w:r>
            <w:r>
              <w:t xml:space="preserve"> </w:t>
            </w:r>
            <w:r>
              <w:t xml:space="preserve">“ВЫБЫТИЕ литературы”</w:t>
            </w:r>
            <w:r>
              <w:t xml:space="preserve">)</w:t>
            </w:r>
          </w:p>
        </w:tc>
      </w:tr>
      <w:tr>
        <w:tc>
          <w:tcPr/>
          <w:p>
            <w:pPr>
              <w:pStyle w:val="Compact"/>
            </w:pPr>
            <w:r>
              <w:t xml:space="preserve">136</w:t>
            </w:r>
          </w:p>
        </w:tc>
        <w:tc>
          <w:tcPr/>
          <w:p>
            <w:pPr>
              <w:pStyle w:val="Compact"/>
            </w:pPr>
            <w:r>
              <w:t xml:space="preserve">tabdkhw</w:t>
            </w:r>
          </w:p>
        </w:tc>
        <w:tc>
          <w:tcPr/>
          <w:p>
            <w:pPr>
              <w:pStyle w:val="Compact"/>
            </w:pPr>
            <w:r>
              <w:t xml:space="preserve">Заголовок для табличной формы TABDKW (Задача</w:t>
            </w:r>
            <w:r>
              <w:t xml:space="preserve"> </w:t>
            </w:r>
            <w:r>
              <w:t xml:space="preserve">“ВЫБЫТИЕ литературы”</w:t>
            </w:r>
            <w:r>
              <w:t xml:space="preserve">)</w:t>
            </w:r>
          </w:p>
        </w:tc>
      </w:tr>
      <w:tr>
        <w:tc>
          <w:tcPr/>
          <w:p>
            <w:pPr>
              <w:pStyle w:val="Compact"/>
            </w:pPr>
            <w:r>
              <w:t xml:space="preserve">137</w:t>
            </w:r>
          </w:p>
        </w:tc>
        <w:tc>
          <w:tcPr/>
          <w:p>
            <w:pPr>
              <w:pStyle w:val="Compact"/>
            </w:pPr>
            <w:r>
              <w:t xml:space="preserve">tabdkw</w:t>
            </w:r>
          </w:p>
        </w:tc>
        <w:tc>
          <w:tcPr/>
          <w:p>
            <w:pPr>
              <w:pStyle w:val="Compact"/>
            </w:pPr>
            <w:r>
              <w:t xml:space="preserve">Для табличной формы TABDKW (Задача</w:t>
            </w:r>
            <w:r>
              <w:t xml:space="preserve"> </w:t>
            </w:r>
            <w:r>
              <w:t xml:space="preserve">“ВЫБЫТИЕ литературы”</w:t>
            </w:r>
            <w:r>
              <w:t xml:space="preserve">)</w:t>
            </w:r>
          </w:p>
        </w:tc>
      </w:tr>
      <w:tr>
        <w:tc>
          <w:tcPr/>
          <w:p>
            <w:pPr>
              <w:pStyle w:val="Compact"/>
            </w:pPr>
            <w:r>
              <w:t xml:space="preserve">138</w:t>
            </w:r>
          </w:p>
        </w:tc>
        <w:tc>
          <w:tcPr/>
          <w:p>
            <w:pPr>
              <w:pStyle w:val="Compact"/>
            </w:pPr>
            <w:r>
              <w:t xml:space="preserve">tabf1w</w:t>
            </w:r>
          </w:p>
        </w:tc>
        <w:tc>
          <w:tcPr/>
          <w:p>
            <w:pPr>
              <w:pStyle w:val="Compact"/>
            </w:pPr>
            <w:r>
              <w:t xml:space="preserve">Для табличной формы TABF1W</w:t>
            </w:r>
          </w:p>
        </w:tc>
      </w:tr>
      <w:tr>
        <w:tc>
          <w:tcPr/>
          <w:p>
            <w:pPr>
              <w:pStyle w:val="Compact"/>
            </w:pPr>
            <w:r>
              <w:t xml:space="preserve">139</w:t>
            </w:r>
          </w:p>
        </w:tc>
        <w:tc>
          <w:tcPr/>
          <w:p>
            <w:pPr>
              <w:pStyle w:val="Compact"/>
            </w:pPr>
            <w:r>
              <w:t xml:space="preserve">tabf3hw</w:t>
            </w:r>
          </w:p>
        </w:tc>
        <w:tc>
          <w:tcPr/>
          <w:p>
            <w:pPr>
              <w:pStyle w:val="Compact"/>
            </w:pPr>
            <w:r>
              <w:t xml:space="preserve">Для табличной формы TABF3W</w:t>
            </w:r>
          </w:p>
        </w:tc>
      </w:tr>
      <w:tr>
        <w:tc>
          <w:tcPr/>
          <w:p>
            <w:pPr>
              <w:pStyle w:val="Compact"/>
            </w:pPr>
            <w:r>
              <w:t xml:space="preserve">140</w:t>
            </w:r>
          </w:p>
        </w:tc>
        <w:tc>
          <w:tcPr/>
          <w:p>
            <w:pPr>
              <w:pStyle w:val="Compact"/>
            </w:pPr>
            <w:r>
              <w:t xml:space="preserve">tabf3w</w:t>
            </w:r>
          </w:p>
        </w:tc>
        <w:tc>
          <w:tcPr/>
          <w:p>
            <w:pPr>
              <w:pStyle w:val="Compact"/>
            </w:pPr>
            <w:r>
              <w:t xml:space="preserve">Для табличной формы TABF3W</w:t>
            </w:r>
          </w:p>
        </w:tc>
      </w:tr>
      <w:tr>
        <w:tc>
          <w:tcPr/>
          <w:p>
            <w:pPr>
              <w:pStyle w:val="Compact"/>
            </w:pPr>
            <w:r>
              <w:t xml:space="preserve">141</w:t>
            </w:r>
          </w:p>
        </w:tc>
        <w:tc>
          <w:tcPr/>
          <w:p>
            <w:pPr>
              <w:pStyle w:val="Compact"/>
            </w:pPr>
            <w:r>
              <w:t xml:space="preserve">tabinvhw</w:t>
            </w:r>
          </w:p>
        </w:tc>
        <w:tc>
          <w:tcPr/>
          <w:p>
            <w:pPr>
              <w:pStyle w:val="Compact"/>
            </w:pPr>
            <w:r>
              <w:t xml:space="preserve">Заголовок для табличной формы TABINVW</w:t>
            </w:r>
          </w:p>
        </w:tc>
      </w:tr>
      <w:tr>
        <w:tc>
          <w:tcPr/>
          <w:p>
            <w:pPr>
              <w:pStyle w:val="Compact"/>
            </w:pPr>
            <w:r>
              <w:t xml:space="preserve">142</w:t>
            </w:r>
          </w:p>
        </w:tc>
        <w:tc>
          <w:tcPr/>
          <w:p>
            <w:pPr>
              <w:pStyle w:val="Compact"/>
            </w:pPr>
            <w:r>
              <w:t xml:space="preserve">tabinvw</w:t>
            </w:r>
          </w:p>
        </w:tc>
        <w:tc>
          <w:tcPr/>
          <w:p>
            <w:pPr>
              <w:pStyle w:val="Compact"/>
            </w:pPr>
            <w:r>
              <w:t xml:space="preserve">Для табличной формы TABINVW</w:t>
            </w:r>
          </w:p>
        </w:tc>
      </w:tr>
      <w:tr>
        <w:tc>
          <w:tcPr/>
          <w:p>
            <w:pPr>
              <w:pStyle w:val="Compact"/>
            </w:pPr>
            <w:r>
              <w:t xml:space="preserve">143</w:t>
            </w:r>
          </w:p>
        </w:tc>
        <w:tc>
          <w:tcPr/>
          <w:p>
            <w:pPr>
              <w:pStyle w:val="Compact"/>
            </w:pPr>
            <w:r>
              <w:t xml:space="preserve">tabiuw</w:t>
            </w:r>
          </w:p>
        </w:tc>
        <w:tc>
          <w:tcPr/>
          <w:p>
            <w:pPr>
              <w:pStyle w:val="Compact"/>
            </w:pPr>
            <w:r>
              <w:t xml:space="preserve">Заголовок для табличной формы TABIUW</w:t>
            </w:r>
          </w:p>
        </w:tc>
      </w:tr>
      <w:tr>
        <w:tc>
          <w:tcPr/>
          <w:p>
            <w:pPr>
              <w:pStyle w:val="Compact"/>
            </w:pPr>
            <w:r>
              <w:t xml:space="preserve">144</w:t>
            </w:r>
          </w:p>
        </w:tc>
        <w:tc>
          <w:tcPr/>
          <w:p>
            <w:pPr>
              <w:pStyle w:val="Compact"/>
            </w:pPr>
            <w:r>
              <w:t xml:space="preserve">tabkohw</w:t>
            </w:r>
          </w:p>
        </w:tc>
        <w:tc>
          <w:tcPr/>
          <w:p>
            <w:pPr>
              <w:pStyle w:val="Compact"/>
            </w:pPr>
            <w:r>
              <w:t xml:space="preserve">Заголовок для табличной формы TABKOW</w:t>
            </w:r>
            <w:r>
              <w:t xml:space="preserve"> </w:t>
            </w:r>
            <w:r>
              <w:t xml:space="preserve">“Книгообеспеченность студентов”</w:t>
            </w:r>
          </w:p>
        </w:tc>
      </w:tr>
      <w:tr>
        <w:tc>
          <w:tcPr/>
          <w:p>
            <w:pPr>
              <w:pStyle w:val="Compact"/>
            </w:pPr>
            <w:r>
              <w:t xml:space="preserve">145</w:t>
            </w:r>
          </w:p>
        </w:tc>
        <w:tc>
          <w:tcPr/>
          <w:p>
            <w:pPr>
              <w:pStyle w:val="Compact"/>
            </w:pPr>
            <w:r>
              <w:t xml:space="preserve">tabkow</w:t>
            </w:r>
          </w:p>
        </w:tc>
        <w:tc>
          <w:tcPr/>
          <w:p>
            <w:pPr>
              <w:pStyle w:val="Compact"/>
            </w:pPr>
            <w:r>
              <w:t xml:space="preserve">Для табличной формы TABKOW</w:t>
            </w:r>
            <w:r>
              <w:t xml:space="preserve"> </w:t>
            </w:r>
            <w:r>
              <w:t xml:space="preserve">“Книгообеспеченность студентов”</w:t>
            </w:r>
          </w:p>
        </w:tc>
      </w:tr>
      <w:tr>
        <w:tc>
          <w:tcPr/>
          <w:p>
            <w:pPr>
              <w:pStyle w:val="Compact"/>
            </w:pPr>
            <w:r>
              <w:t xml:space="preserve">146</w:t>
            </w:r>
          </w:p>
        </w:tc>
        <w:tc>
          <w:tcPr/>
          <w:p>
            <w:pPr>
              <w:pStyle w:val="Compact"/>
            </w:pPr>
            <w:r>
              <w:t xml:space="preserve">tabkojhw</w:t>
            </w:r>
          </w:p>
        </w:tc>
        <w:tc>
          <w:tcPr/>
          <w:p>
            <w:pPr>
              <w:pStyle w:val="Compact"/>
            </w:pPr>
            <w:r>
              <w:t xml:space="preserve">Заголовок для табличной формы TABKOJW</w:t>
            </w:r>
          </w:p>
        </w:tc>
      </w:tr>
      <w:tr>
        <w:tc>
          <w:tcPr/>
          <w:p>
            <w:pPr>
              <w:pStyle w:val="Compact"/>
            </w:pPr>
            <w:r>
              <w:t xml:space="preserve">147</w:t>
            </w:r>
          </w:p>
        </w:tc>
        <w:tc>
          <w:tcPr/>
          <w:p>
            <w:pPr>
              <w:pStyle w:val="Compact"/>
            </w:pPr>
            <w:r>
              <w:t xml:space="preserve">tabkojw</w:t>
            </w:r>
          </w:p>
        </w:tc>
        <w:tc>
          <w:tcPr/>
          <w:p>
            <w:pPr>
              <w:pStyle w:val="Compact"/>
            </w:pPr>
            <w:r>
              <w:t xml:space="preserve">Для табличной формы TABKOJW</w:t>
            </w:r>
            <w:r>
              <w:t xml:space="preserve"> </w:t>
            </w:r>
            <w:r>
              <w:t xml:space="preserve">“Книгообеспеченность студентов”</w:t>
            </w:r>
          </w:p>
        </w:tc>
      </w:tr>
      <w:tr>
        <w:tc>
          <w:tcPr/>
          <w:p>
            <w:pPr>
              <w:pStyle w:val="Compact"/>
            </w:pPr>
            <w:r>
              <w:t xml:space="preserve">148</w:t>
            </w:r>
          </w:p>
        </w:tc>
        <w:tc>
          <w:tcPr/>
          <w:p>
            <w:pPr>
              <w:pStyle w:val="Compact"/>
            </w:pPr>
            <w:r>
              <w:t xml:space="preserve">tabsu0</w:t>
            </w:r>
          </w:p>
        </w:tc>
        <w:tc>
          <w:tcPr/>
          <w:p>
            <w:pPr>
              <w:pStyle w:val="Compact"/>
            </w:pPr>
            <w:r>
              <w:t xml:space="preserve">Для табличной формы TABSU0</w:t>
            </w:r>
          </w:p>
        </w:tc>
      </w:tr>
      <w:tr>
        <w:tc>
          <w:tcPr/>
          <w:p>
            <w:pPr>
              <w:pStyle w:val="Compact"/>
            </w:pPr>
            <w:r>
              <w:t xml:space="preserve">149</w:t>
            </w:r>
          </w:p>
        </w:tc>
        <w:tc>
          <w:tcPr/>
          <w:p>
            <w:pPr>
              <w:pStyle w:val="Compact"/>
            </w:pPr>
            <w:r>
              <w:t xml:space="preserve">tabsuo922</w:t>
            </w:r>
          </w:p>
        </w:tc>
        <w:tc>
          <w:tcPr/>
          <w:p>
            <w:pPr>
              <w:pStyle w:val="Compact"/>
            </w:pPr>
            <w:r>
              <w:t xml:space="preserve">Форматирование поля 922-вложенный в формат TABSU0</w:t>
            </w:r>
          </w:p>
        </w:tc>
      </w:tr>
      <w:tr>
        <w:tc>
          <w:tcPr/>
          <w:p>
            <w:pPr>
              <w:pStyle w:val="Compact"/>
            </w:pPr>
            <w:r>
              <w:t xml:space="preserve">150</w:t>
            </w:r>
          </w:p>
        </w:tc>
        <w:tc>
          <w:tcPr/>
          <w:p>
            <w:pPr>
              <w:pStyle w:val="Compact"/>
            </w:pPr>
            <w:r>
              <w:t xml:space="preserve">tabsuw</w:t>
            </w:r>
          </w:p>
        </w:tc>
        <w:tc>
          <w:tcPr/>
          <w:p>
            <w:pPr>
              <w:pStyle w:val="Compact"/>
            </w:pPr>
            <w:r>
              <w:t xml:space="preserve">Для табличной формы TABSUW</w:t>
            </w:r>
          </w:p>
        </w:tc>
      </w:tr>
      <w:tr>
        <w:tc>
          <w:tcPr/>
          <w:p>
            <w:pPr>
              <w:pStyle w:val="Compact"/>
            </w:pPr>
            <w:r>
              <w:t xml:space="preserve">151</w:t>
            </w:r>
          </w:p>
        </w:tc>
        <w:tc>
          <w:tcPr/>
          <w:p>
            <w:pPr>
              <w:pStyle w:val="Compact"/>
            </w:pPr>
            <w:r>
              <w:t xml:space="preserve">tabwbhw</w:t>
            </w:r>
          </w:p>
        </w:tc>
        <w:tc>
          <w:tcPr/>
          <w:p>
            <w:pPr>
              <w:pStyle w:val="Compact"/>
            </w:pPr>
            <w:r>
              <w:t xml:space="preserve">Заголовок для табличной формы TABWBW (Задача</w:t>
            </w:r>
            <w:r>
              <w:t xml:space="preserve"> </w:t>
            </w:r>
            <w:r>
              <w:t xml:space="preserve">“ВЫБЫТИЕ литературы”</w:t>
            </w:r>
            <w:r>
              <w:t xml:space="preserve">)</w:t>
            </w:r>
          </w:p>
        </w:tc>
      </w:tr>
      <w:tr>
        <w:tc>
          <w:tcPr/>
          <w:p>
            <w:pPr>
              <w:pStyle w:val="Compact"/>
            </w:pPr>
            <w:r>
              <w:t xml:space="preserve">152</w:t>
            </w:r>
          </w:p>
        </w:tc>
        <w:tc>
          <w:tcPr/>
          <w:p>
            <w:pPr>
              <w:pStyle w:val="Compact"/>
            </w:pPr>
            <w:r>
              <w:t xml:space="preserve">tabwbw</w:t>
            </w:r>
          </w:p>
        </w:tc>
        <w:tc>
          <w:tcPr/>
          <w:p>
            <w:pPr>
              <w:pStyle w:val="Compact"/>
            </w:pPr>
            <w:r>
              <w:t xml:space="preserve">Для табличной формы TABWBW (Задача</w:t>
            </w:r>
            <w:r>
              <w:t xml:space="preserve"> </w:t>
            </w:r>
            <w:r>
              <w:t xml:space="preserve">“ВЫБЫТИЕ литературы”</w:t>
            </w:r>
            <w:r>
              <w:t xml:space="preserve">)</w:t>
            </w:r>
          </w:p>
        </w:tc>
      </w:tr>
      <w:tr>
        <w:tc>
          <w:tcPr/>
          <w:p>
            <w:pPr>
              <w:pStyle w:val="Compact"/>
            </w:pPr>
            <w:r>
              <w:t xml:space="preserve">153</w:t>
            </w:r>
          </w:p>
        </w:tc>
        <w:tc>
          <w:tcPr/>
          <w:p>
            <w:pPr>
              <w:pStyle w:val="Compact"/>
            </w:pPr>
            <w:r>
              <w:t xml:space="preserve">tabwphw</w:t>
            </w:r>
          </w:p>
        </w:tc>
        <w:tc>
          <w:tcPr/>
          <w:p>
            <w:pPr>
              <w:pStyle w:val="Compact"/>
            </w:pPr>
            <w:r>
              <w:t xml:space="preserve">Заголовок для табличной формы TABWPW (Задача</w:t>
            </w:r>
            <w:r>
              <w:t xml:space="preserve"> </w:t>
            </w:r>
            <w:r>
              <w:t xml:space="preserve">“ВЫБЫТИЕ литературы”</w:t>
            </w:r>
            <w:r>
              <w:t xml:space="preserve">)</w:t>
            </w:r>
          </w:p>
        </w:tc>
      </w:tr>
      <w:tr>
        <w:tc>
          <w:tcPr/>
          <w:p>
            <w:pPr>
              <w:pStyle w:val="Compact"/>
            </w:pPr>
            <w:r>
              <w:t xml:space="preserve">154</w:t>
            </w:r>
          </w:p>
        </w:tc>
        <w:tc>
          <w:tcPr/>
          <w:p>
            <w:pPr>
              <w:pStyle w:val="Compact"/>
            </w:pPr>
            <w:r>
              <w:t xml:space="preserve">tabwpw</w:t>
            </w:r>
          </w:p>
        </w:tc>
        <w:tc>
          <w:tcPr/>
          <w:p>
            <w:pPr>
              <w:pStyle w:val="Compact"/>
            </w:pPr>
            <w:r>
              <w:t xml:space="preserve">Для табличной формы TABWPW (Задача</w:t>
            </w:r>
            <w:r>
              <w:t xml:space="preserve"> </w:t>
            </w:r>
            <w:r>
              <w:t xml:space="preserve">“ВЫБЫТИЕ литературы”</w:t>
            </w:r>
            <w:r>
              <w:t xml:space="preserve">)</w:t>
            </w:r>
          </w:p>
        </w:tc>
      </w:tr>
      <w:tr>
        <w:tc>
          <w:tcPr/>
          <w:p>
            <w:pPr>
              <w:pStyle w:val="Compact"/>
            </w:pPr>
            <w:r>
              <w:t xml:space="preserve">155</w:t>
            </w:r>
          </w:p>
        </w:tc>
        <w:tc>
          <w:tcPr/>
          <w:p>
            <w:pPr>
              <w:pStyle w:val="Compact"/>
            </w:pPr>
            <w:r>
              <w:t xml:space="preserve">tactihw</w:t>
            </w:r>
          </w:p>
        </w:tc>
        <w:tc>
          <w:tcPr/>
          <w:p>
            <w:pPr>
              <w:pStyle w:val="Compact"/>
            </w:pPr>
            <w:r>
              <w:t xml:space="preserve">Заголовок для табличной формы TACTIW (Задача</w:t>
            </w:r>
            <w:r>
              <w:t xml:space="preserve"> </w:t>
            </w:r>
            <w:r>
              <w:t xml:space="preserve">“ВЫБЫТИЕ литературы”</w:t>
            </w:r>
            <w:r>
              <w:t xml:space="preserve">)</w:t>
            </w:r>
          </w:p>
        </w:tc>
      </w:tr>
      <w:tr>
        <w:tc>
          <w:tcPr/>
          <w:p>
            <w:pPr>
              <w:pStyle w:val="Compact"/>
            </w:pPr>
            <w:r>
              <w:t xml:space="preserve">156</w:t>
            </w:r>
          </w:p>
        </w:tc>
        <w:tc>
          <w:tcPr/>
          <w:p>
            <w:pPr>
              <w:pStyle w:val="Compact"/>
            </w:pPr>
            <w:r>
              <w:t xml:space="preserve">tactiw</w:t>
            </w:r>
          </w:p>
        </w:tc>
        <w:tc>
          <w:tcPr/>
          <w:p>
            <w:pPr>
              <w:pStyle w:val="Compact"/>
            </w:pPr>
            <w:r>
              <w:t xml:space="preserve">Для табличной формы TACTIW (Задача</w:t>
            </w:r>
            <w:r>
              <w:t xml:space="preserve"> </w:t>
            </w:r>
            <w:r>
              <w:t xml:space="preserve">“ВЫБЫТИЕ литературы”</w:t>
            </w:r>
            <w:r>
              <w:t xml:space="preserve">)</w:t>
            </w:r>
          </w:p>
        </w:tc>
      </w:tr>
      <w:tr>
        <w:tc>
          <w:tcPr/>
          <w:p>
            <w:pPr>
              <w:pStyle w:val="Compact"/>
            </w:pPr>
            <w:r>
              <w:t xml:space="preserve">157</w:t>
            </w:r>
          </w:p>
        </w:tc>
        <w:tc>
          <w:tcPr/>
          <w:p>
            <w:pPr>
              <w:pStyle w:val="Compact"/>
            </w:pPr>
            <w:r>
              <w:t xml:space="preserve">tnnjw</w:t>
            </w:r>
          </w:p>
        </w:tc>
        <w:tc>
          <w:tcPr/>
          <w:p>
            <w:pPr>
              <w:pStyle w:val="Compact"/>
            </w:pPr>
            <w:r>
              <w:t xml:space="preserve">Для табличной формы TNNJW</w:t>
            </w:r>
          </w:p>
        </w:tc>
      </w:tr>
      <w:tr>
        <w:tc>
          <w:tcPr/>
          <w:p>
            <w:pPr>
              <w:pStyle w:val="Compact"/>
            </w:pPr>
            <w:r>
              <w:t xml:space="preserve">158</w:t>
            </w:r>
          </w:p>
        </w:tc>
        <w:tc>
          <w:tcPr/>
          <w:p>
            <w:pPr>
              <w:pStyle w:val="Compact"/>
            </w:pPr>
            <w:r>
              <w:t xml:space="preserve">tpinvhw</w:t>
            </w:r>
          </w:p>
        </w:tc>
        <w:tc>
          <w:tcPr/>
          <w:p>
            <w:pPr>
              <w:pStyle w:val="Compact"/>
            </w:pPr>
            <w:r>
              <w:t xml:space="preserve">Заголовок для табличной формы TPINVW (Задача</w:t>
            </w:r>
            <w:r>
              <w:t xml:space="preserve"> </w:t>
            </w:r>
            <w:r>
              <w:t xml:space="preserve">“ВЫБЫТИЕ литературы”</w:t>
            </w:r>
            <w:r>
              <w:t xml:space="preserve">)</w:t>
            </w:r>
          </w:p>
        </w:tc>
      </w:tr>
      <w:tr>
        <w:tc>
          <w:tcPr/>
          <w:p>
            <w:pPr>
              <w:pStyle w:val="Compact"/>
            </w:pPr>
            <w:r>
              <w:t xml:space="preserve">159</w:t>
            </w:r>
          </w:p>
        </w:tc>
        <w:tc>
          <w:tcPr/>
          <w:p>
            <w:pPr>
              <w:pStyle w:val="Compact"/>
            </w:pPr>
            <w:r>
              <w:t xml:space="preserve">tpinvw</w:t>
            </w:r>
          </w:p>
        </w:tc>
        <w:tc>
          <w:tcPr/>
          <w:p>
            <w:pPr>
              <w:pStyle w:val="Compact"/>
            </w:pPr>
            <w:r>
              <w:t xml:space="preserve">Для табличной формы TPINVW (Задача</w:t>
            </w:r>
            <w:r>
              <w:t xml:space="preserve"> </w:t>
            </w:r>
            <w:r>
              <w:t xml:space="preserve">“ВЫБЫТИЕ литературы”</w:t>
            </w:r>
            <w:r>
              <w:t xml:space="preserve">)</w:t>
            </w:r>
          </w:p>
        </w:tc>
      </w:tr>
      <w:tr>
        <w:tc>
          <w:tcPr/>
          <w:p>
            <w:pPr>
              <w:pStyle w:val="Compact"/>
            </w:pPr>
            <w:r>
              <w:t xml:space="preserve">160</w:t>
            </w:r>
          </w:p>
        </w:tc>
        <w:tc>
          <w:tcPr/>
          <w:p>
            <w:pPr>
              <w:pStyle w:val="Compact"/>
            </w:pPr>
            <w:r>
              <w:t xml:space="preserve">tprfah</w:t>
            </w:r>
          </w:p>
        </w:tc>
        <w:tc>
          <w:tcPr/>
          <w:p>
            <w:pPr>
              <w:pStyle w:val="Compact"/>
            </w:pPr>
            <w:r>
              <w:t xml:space="preserve">Заголовок для табличной формы TPRFA</w:t>
            </w:r>
          </w:p>
        </w:tc>
      </w:tr>
      <w:tr>
        <w:tc>
          <w:tcPr/>
          <w:p>
            <w:pPr>
              <w:pStyle w:val="Compact"/>
            </w:pPr>
            <w:r>
              <w:t xml:space="preserve">161</w:t>
            </w:r>
          </w:p>
        </w:tc>
        <w:tc>
          <w:tcPr/>
          <w:p>
            <w:pPr>
              <w:pStyle w:val="Compact"/>
            </w:pPr>
            <w:r>
              <w:t xml:space="preserve">tprfa</w:t>
            </w:r>
          </w:p>
        </w:tc>
        <w:tc>
          <w:tcPr/>
          <w:p>
            <w:pPr>
              <w:pStyle w:val="Compact"/>
            </w:pPr>
            <w:r>
              <w:t xml:space="preserve">Для табличной формы TPRFA (Задача</w:t>
            </w:r>
            <w:r>
              <w:t xml:space="preserve"> </w:t>
            </w:r>
            <w:r>
              <w:t xml:space="preserve">“ПРОВЕРКА фонда”</w:t>
            </w:r>
            <w:r>
              <w:t xml:space="preserve"> </w:t>
            </w:r>
            <w:r>
              <w:t xml:space="preserve">– Акт)</w:t>
            </w:r>
          </w:p>
        </w:tc>
      </w:tr>
      <w:tr>
        <w:tc>
          <w:tcPr/>
          <w:p>
            <w:pPr>
              <w:pStyle w:val="Compact"/>
            </w:pPr>
            <w:r>
              <w:t xml:space="preserve">162</w:t>
            </w:r>
          </w:p>
        </w:tc>
        <w:tc>
          <w:tcPr/>
          <w:p>
            <w:pPr>
              <w:pStyle w:val="Compact"/>
            </w:pPr>
            <w:r>
              <w:t xml:space="preserve">tprfih</w:t>
            </w:r>
          </w:p>
        </w:tc>
        <w:tc>
          <w:tcPr/>
          <w:p>
            <w:pPr>
              <w:pStyle w:val="Compact"/>
            </w:pPr>
            <w:r>
              <w:t xml:space="preserve">Заголовок для табличной формы TPRFI</w:t>
            </w:r>
          </w:p>
        </w:tc>
      </w:tr>
      <w:tr>
        <w:tc>
          <w:tcPr/>
          <w:p>
            <w:pPr>
              <w:pStyle w:val="Compact"/>
            </w:pPr>
            <w:r>
              <w:t xml:space="preserve">163</w:t>
            </w:r>
          </w:p>
        </w:tc>
        <w:tc>
          <w:tcPr/>
          <w:p>
            <w:pPr>
              <w:pStyle w:val="Compact"/>
            </w:pPr>
            <w:r>
              <w:t xml:space="preserve">tprfi</w:t>
            </w:r>
          </w:p>
        </w:tc>
        <w:tc>
          <w:tcPr/>
          <w:p>
            <w:pPr>
              <w:pStyle w:val="Compact"/>
            </w:pPr>
            <w:r>
              <w:t xml:space="preserve">Для табличной формы TPRFI (Задача</w:t>
            </w:r>
            <w:r>
              <w:t xml:space="preserve"> </w:t>
            </w:r>
            <w:r>
              <w:t xml:space="preserve">“ПРОВЕРКА фонда”</w:t>
            </w:r>
            <w:r>
              <w:t xml:space="preserve"> </w:t>
            </w:r>
            <w:r>
              <w:t xml:space="preserve">– список)</w:t>
            </w:r>
          </w:p>
        </w:tc>
      </w:tr>
      <w:tr>
        <w:tc>
          <w:tcPr/>
          <w:p>
            <w:pPr>
              <w:pStyle w:val="Compact"/>
            </w:pPr>
            <w:r>
              <w:t xml:space="preserve">164</w:t>
            </w:r>
          </w:p>
        </w:tc>
        <w:tc>
          <w:tcPr/>
          <w:p>
            <w:pPr>
              <w:pStyle w:val="Compact"/>
            </w:pPr>
            <w:r>
              <w:t xml:space="preserve">umarcw</w:t>
            </w:r>
          </w:p>
        </w:tc>
        <w:tc>
          <w:tcPr/>
          <w:p>
            <w:pPr>
              <w:pStyle w:val="Compact"/>
            </w:pPr>
            <w:r>
              <w:t xml:space="preserve">Просмотр в UNIMARC</w:t>
            </w:r>
          </w:p>
        </w:tc>
      </w:tr>
      <w:tr>
        <w:tc>
          <w:tcPr/>
          <w:p>
            <w:pPr>
              <w:pStyle w:val="Compact"/>
            </w:pPr>
            <w:r>
              <w:t xml:space="preserve">165</w:t>
            </w:r>
          </w:p>
        </w:tc>
        <w:tc>
          <w:tcPr/>
          <w:p>
            <w:pPr>
              <w:pStyle w:val="Compact"/>
            </w:pPr>
            <w:r>
              <w:t xml:space="preserve">usmrcw</w:t>
            </w:r>
          </w:p>
        </w:tc>
        <w:tc>
          <w:tcPr/>
          <w:p>
            <w:pPr>
              <w:pStyle w:val="Compact"/>
            </w:pPr>
            <w:r>
              <w:t xml:space="preserve">Просмотр в USMARC</w:t>
            </w:r>
          </w:p>
        </w:tc>
      </w:tr>
    </w:tbl>
    <w:p>
      <w:pPr>
        <w:pStyle w:val="BodyText"/>
      </w:pPr>
      <w:r>
        <w:t xml:space="preserve">Список и назначение основных форматов для БД комплектования (CMPL) приведены в Таблице ниже.</w:t>
      </w:r>
    </w:p>
    <w:tbl>
      <w:tblPr>
        <w:tblStyle w:val="Table"/>
        <w:tblW w:type="pct" w:w="5000"/>
        <w:tblLayout w:type="fixed"/>
        <w:tblLook w:firstRow="1" w:lastRow="0" w:firstColumn="0" w:lastColumn="0" w:noHBand="0" w:noVBand="0" w:val="0020"/>
      </w:tblPr>
      <w:tblGrid>
        <w:gridCol w:w="237"/>
        <w:gridCol w:w="633"/>
        <w:gridCol w:w="7048"/>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!10</w:t>
            </w:r>
          </w:p>
        </w:tc>
        <w:tc>
          <w:tcPr/>
          <w:p>
            <w:pPr>
              <w:pStyle w:val="Compact"/>
            </w:pPr>
            <w:r>
              <w:t xml:space="preserve">ФЛК ISBN на дублетность и по модулю 11</w:t>
            </w:r>
          </w:p>
        </w:tc>
      </w:tr>
      <w:tr>
        <w:tc>
          <w:tcPr/>
          <w:p>
            <w:pPr>
              <w:pStyle w:val="Compact"/>
            </w:pPr>
            <w:r>
              <w:t xml:space="preserve">2</w:t>
            </w:r>
          </w:p>
        </w:tc>
        <w:tc>
          <w:tcPr/>
          <w:p>
            <w:pPr>
              <w:pStyle w:val="Compact"/>
            </w:pPr>
            <w:r>
              <w:t xml:space="preserve">!101</w:t>
            </w:r>
          </w:p>
        </w:tc>
        <w:tc>
          <w:tcPr/>
          <w:p>
            <w:pPr>
              <w:pStyle w:val="Compact"/>
            </w:pPr>
            <w:r>
              <w:t xml:space="preserve">ФЛК кодов</w:t>
            </w:r>
            <w:r>
              <w:t xml:space="preserve"> </w:t>
            </w:r>
            <w:r>
              <w:t xml:space="preserve">“Язык текста”</w:t>
            </w:r>
          </w:p>
        </w:tc>
      </w:tr>
      <w:tr>
        <w:tc>
          <w:tcPr/>
          <w:p>
            <w:pPr>
              <w:pStyle w:val="Compact"/>
            </w:pPr>
            <w:r>
              <w:t xml:space="preserve">3</w:t>
            </w:r>
          </w:p>
        </w:tc>
        <w:tc>
          <w:tcPr/>
          <w:p>
            <w:pPr>
              <w:pStyle w:val="Compact"/>
            </w:pPr>
            <w:r>
              <w:t xml:space="preserve">!102</w:t>
            </w:r>
          </w:p>
        </w:tc>
        <w:tc>
          <w:tcPr/>
          <w:p>
            <w:pPr>
              <w:pStyle w:val="Compact"/>
            </w:pPr>
            <w:r>
              <w:t xml:space="preserve">ФЛК кода страны</w:t>
            </w:r>
          </w:p>
        </w:tc>
      </w:tr>
      <w:tr>
        <w:tc>
          <w:tcPr/>
          <w:p>
            <w:pPr>
              <w:pStyle w:val="Compact"/>
            </w:pPr>
            <w:r>
              <w:t xml:space="preserve">4</w:t>
            </w:r>
          </w:p>
        </w:tc>
        <w:tc>
          <w:tcPr/>
          <w:p>
            <w:pPr>
              <w:pStyle w:val="Compact"/>
            </w:pPr>
            <w:r>
              <w:t xml:space="preserve">!11</w:t>
            </w:r>
          </w:p>
        </w:tc>
        <w:tc>
          <w:tcPr/>
          <w:p>
            <w:pPr>
              <w:pStyle w:val="Compact"/>
            </w:pPr>
            <w:r>
              <w:t xml:space="preserve">ФЛК ISSN по модулю 11</w:t>
            </w:r>
          </w:p>
        </w:tc>
      </w:tr>
      <w:tr>
        <w:tc>
          <w:tcPr/>
          <w:p>
            <w:pPr>
              <w:pStyle w:val="Compact"/>
            </w:pPr>
            <w:r>
              <w:t xml:space="preserve">5</w:t>
            </w:r>
          </w:p>
        </w:tc>
        <w:tc>
          <w:tcPr/>
          <w:p>
            <w:pPr>
              <w:pStyle w:val="Compact"/>
            </w:pPr>
            <w:r>
              <w:t xml:space="preserve">!110</w:t>
            </w:r>
          </w:p>
        </w:tc>
        <w:tc>
          <w:tcPr/>
          <w:p>
            <w:pPr>
              <w:pStyle w:val="Compact"/>
            </w:pPr>
            <w:r>
              <w:t xml:space="preserve">ФЛК на обязательность ЭД</w:t>
            </w:r>
            <w:r>
              <w:t xml:space="preserve"> </w:t>
            </w:r>
            <w:r>
              <w:t xml:space="preserve">“Код вида периодического издания”</w:t>
            </w:r>
            <w:r>
              <w:t xml:space="preserve"> </w:t>
            </w:r>
            <w:r>
              <w:t xml:space="preserve">(РЛ OJK)</w:t>
            </w:r>
          </w:p>
        </w:tc>
      </w:tr>
      <w:tr>
        <w:tc>
          <w:tcPr/>
          <w:p>
            <w:pPr>
              <w:pStyle w:val="Compact"/>
            </w:pPr>
            <w:r>
              <w:t xml:space="preserve">6</w:t>
            </w:r>
          </w:p>
        </w:tc>
        <w:tc>
          <w:tcPr/>
          <w:p>
            <w:pPr>
              <w:pStyle w:val="Compact"/>
            </w:pPr>
            <w:r>
              <w:t xml:space="preserve">!200</w:t>
            </w:r>
          </w:p>
        </w:tc>
        <w:tc>
          <w:tcPr/>
          <w:p>
            <w:pPr>
              <w:pStyle w:val="Compact"/>
            </w:pPr>
            <w:r>
              <w:t xml:space="preserve">ФЛК на обязательность поля</w:t>
            </w:r>
            <w:r>
              <w:t xml:space="preserve"> </w:t>
            </w:r>
            <w:r>
              <w:t xml:space="preserve">“Заглавие”</w:t>
            </w:r>
          </w:p>
        </w:tc>
      </w:tr>
      <w:tr>
        <w:tc>
          <w:tcPr/>
          <w:p>
            <w:pPr>
              <w:pStyle w:val="Compact"/>
            </w:pPr>
            <w:r>
              <w:t xml:space="preserve">8</w:t>
            </w:r>
          </w:p>
        </w:tc>
        <w:tc>
          <w:tcPr/>
          <w:p>
            <w:pPr>
              <w:pStyle w:val="Compact"/>
            </w:pPr>
            <w:r>
              <w:t xml:space="preserve">!200d</w:t>
            </w:r>
          </w:p>
        </w:tc>
        <w:tc>
          <w:tcPr/>
          <w:p>
            <w:pPr>
              <w:pStyle w:val="Compact"/>
            </w:pPr>
            <w:r>
              <w:t xml:space="preserve">ФЛК на правильность структуры поля</w:t>
            </w:r>
            <w:r>
              <w:t xml:space="preserve"> </w:t>
            </w:r>
            <w:r>
              <w:t xml:space="preserve">“Заглавие”</w:t>
            </w:r>
            <w:r>
              <w:t xml:space="preserve"> </w:t>
            </w:r>
            <w:r>
              <w:t xml:space="preserve">при проверке на дублетность</w:t>
            </w:r>
          </w:p>
        </w:tc>
      </w:tr>
      <w:tr>
        <w:tc>
          <w:tcPr/>
          <w:p>
            <w:pPr>
              <w:pStyle w:val="Compact"/>
            </w:pPr>
            <w:r>
              <w:t xml:space="preserve">9</w:t>
            </w:r>
          </w:p>
        </w:tc>
        <w:tc>
          <w:tcPr/>
          <w:p>
            <w:pPr>
              <w:pStyle w:val="Compact"/>
            </w:pPr>
            <w:r>
              <w:t xml:space="preserve">!210d</w:t>
            </w:r>
          </w:p>
        </w:tc>
        <w:tc>
          <w:tcPr/>
          <w:p>
            <w:pPr>
              <w:pStyle w:val="Compact"/>
            </w:pPr>
            <w:r>
              <w:t xml:space="preserve">ФЛК на правильность структуры поля</w:t>
            </w:r>
            <w:r>
              <w:t xml:space="preserve"> </w:t>
            </w:r>
            <w:r>
              <w:t xml:space="preserve">“Год”</w:t>
            </w:r>
            <w:r>
              <w:t xml:space="preserve"> </w:t>
            </w:r>
            <w:r>
              <w:t xml:space="preserve">при проверке на дублетность</w:t>
            </w:r>
          </w:p>
        </w:tc>
      </w:tr>
      <w:tr>
        <w:tc>
          <w:tcPr/>
          <w:p>
            <w:pPr>
              <w:pStyle w:val="Compact"/>
            </w:pPr>
            <w:r>
              <w:t xml:space="preserve">10</w:t>
            </w:r>
          </w:p>
        </w:tc>
        <w:tc>
          <w:tcPr/>
          <w:p>
            <w:pPr>
              <w:pStyle w:val="Compact"/>
            </w:pPr>
            <w:r>
              <w:t xml:space="preserve">!30</w:t>
            </w:r>
          </w:p>
        </w:tc>
        <w:tc>
          <w:tcPr/>
          <w:p>
            <w:pPr>
              <w:pStyle w:val="Compact"/>
            </w:pPr>
            <w:r>
              <w:t xml:space="preserve">ФЛК поля</w:t>
            </w:r>
            <w:r>
              <w:t xml:space="preserve"> </w:t>
            </w:r>
            <w:r>
              <w:t xml:space="preserve">“1-й заказ на книги”</w:t>
            </w:r>
            <w:r>
              <w:t xml:space="preserve"> </w:t>
            </w:r>
            <w:r>
              <w:t xml:space="preserve">(РЛ ZK)</w:t>
            </w:r>
          </w:p>
        </w:tc>
      </w:tr>
      <w:tr>
        <w:tc>
          <w:tcPr/>
          <w:p>
            <w:pPr>
              <w:pStyle w:val="Compact"/>
            </w:pPr>
            <w:r>
              <w:t xml:space="preserve">11</w:t>
            </w:r>
          </w:p>
        </w:tc>
        <w:tc>
          <w:tcPr/>
          <w:p>
            <w:pPr>
              <w:pStyle w:val="Compact"/>
            </w:pPr>
            <w:r>
              <w:t xml:space="preserve">!31</w:t>
            </w:r>
          </w:p>
        </w:tc>
        <w:tc>
          <w:tcPr/>
          <w:p>
            <w:pPr>
              <w:pStyle w:val="Compact"/>
            </w:pPr>
            <w:r>
              <w:t xml:space="preserve">ФЛК поля</w:t>
            </w:r>
            <w:r>
              <w:t xml:space="preserve"> </w:t>
            </w:r>
            <w:r>
              <w:t xml:space="preserve">“2-й заказ на книги”</w:t>
            </w:r>
            <w:r>
              <w:t xml:space="preserve"> </w:t>
            </w:r>
            <w:r>
              <w:t xml:space="preserve">(РЛ ZK)</w:t>
            </w:r>
          </w:p>
        </w:tc>
      </w:tr>
      <w:tr>
        <w:tc>
          <w:tcPr/>
          <w:p>
            <w:pPr>
              <w:pStyle w:val="Compact"/>
            </w:pPr>
            <w:r>
              <w:t xml:space="preserve">12</w:t>
            </w:r>
          </w:p>
        </w:tc>
        <w:tc>
          <w:tcPr/>
          <w:p>
            <w:pPr>
              <w:pStyle w:val="Compact"/>
            </w:pPr>
            <w:r>
              <w:t xml:space="preserve">!32</w:t>
            </w:r>
          </w:p>
        </w:tc>
        <w:tc>
          <w:tcPr/>
          <w:p>
            <w:pPr>
              <w:pStyle w:val="Compact"/>
            </w:pPr>
            <w:r>
              <w:t xml:space="preserve">ФЛК поля</w:t>
            </w:r>
            <w:r>
              <w:t xml:space="preserve"> </w:t>
            </w:r>
            <w:r>
              <w:t xml:space="preserve">“3-й заказ на книги”</w:t>
            </w:r>
            <w:r>
              <w:t xml:space="preserve"> </w:t>
            </w:r>
            <w:r>
              <w:t xml:space="preserve">(РЛ ZK)</w:t>
            </w:r>
          </w:p>
        </w:tc>
      </w:tr>
      <w:tr>
        <w:tc>
          <w:tcPr/>
          <w:p>
            <w:pPr>
              <w:pStyle w:val="Compact"/>
            </w:pPr>
            <w:r>
              <w:t xml:space="preserve">13</w:t>
            </w:r>
          </w:p>
        </w:tc>
        <w:tc>
          <w:tcPr/>
          <w:p>
            <w:pPr>
              <w:pStyle w:val="Compact"/>
            </w:pPr>
            <w:r>
              <w:t xml:space="preserve">!41</w:t>
            </w:r>
          </w:p>
        </w:tc>
        <w:tc>
          <w:tcPr/>
          <w:p>
            <w:pPr>
              <w:pStyle w:val="Compact"/>
            </w:pPr>
            <w:r>
              <w:t xml:space="preserve">ФЛК поля</w:t>
            </w:r>
            <w:r>
              <w:t xml:space="preserve"> </w:t>
            </w:r>
            <w:r>
              <w:t xml:space="preserve">“1-й предварительный заказ”</w:t>
            </w:r>
            <w:r>
              <w:t xml:space="preserve"> </w:t>
            </w:r>
            <w:r>
              <w:t xml:space="preserve">(РЛ IZD)</w:t>
            </w:r>
          </w:p>
        </w:tc>
      </w:tr>
      <w:tr>
        <w:tc>
          <w:tcPr/>
          <w:p>
            <w:pPr>
              <w:pStyle w:val="Compact"/>
            </w:pPr>
            <w:r>
              <w:t xml:space="preserve">14</w:t>
            </w:r>
          </w:p>
        </w:tc>
        <w:tc>
          <w:tcPr/>
          <w:p>
            <w:pPr>
              <w:pStyle w:val="Compact"/>
            </w:pPr>
            <w:r>
              <w:t xml:space="preserve">!42</w:t>
            </w:r>
          </w:p>
        </w:tc>
        <w:tc>
          <w:tcPr/>
          <w:p>
            <w:pPr>
              <w:pStyle w:val="Compact"/>
            </w:pPr>
            <w:r>
              <w:t xml:space="preserve">ФЛК поля</w:t>
            </w:r>
            <w:r>
              <w:t xml:space="preserve"> </w:t>
            </w:r>
            <w:r>
              <w:t xml:space="preserve">“2-й предварительный заказ”</w:t>
            </w:r>
            <w:r>
              <w:t xml:space="preserve"> </w:t>
            </w:r>
            <w:r>
              <w:t xml:space="preserve">(РЛ IZD)</w:t>
            </w:r>
          </w:p>
        </w:tc>
      </w:tr>
      <w:tr>
        <w:tc>
          <w:tcPr/>
          <w:p>
            <w:pPr>
              <w:pStyle w:val="Compact"/>
            </w:pPr>
            <w:r>
              <w:t xml:space="preserve">15</w:t>
            </w:r>
          </w:p>
        </w:tc>
        <w:tc>
          <w:tcPr/>
          <w:p>
            <w:pPr>
              <w:pStyle w:val="Compact"/>
            </w:pPr>
            <w:r>
              <w:t xml:space="preserve">!43</w:t>
            </w:r>
          </w:p>
        </w:tc>
        <w:tc>
          <w:tcPr/>
          <w:p>
            <w:pPr>
              <w:pStyle w:val="Compact"/>
            </w:pPr>
            <w:r>
              <w:t xml:space="preserve">ФЛК поля</w:t>
            </w:r>
            <w:r>
              <w:t xml:space="preserve"> </w:t>
            </w:r>
            <w:r>
              <w:t xml:space="preserve">“3-й предварительный заказ”</w:t>
            </w:r>
            <w:r>
              <w:t xml:space="preserve"> </w:t>
            </w:r>
            <w:r>
              <w:t xml:space="preserve">(РЛ IZD)</w:t>
            </w:r>
          </w:p>
        </w:tc>
      </w:tr>
      <w:tr>
        <w:tc>
          <w:tcPr/>
          <w:p>
            <w:pPr>
              <w:pStyle w:val="Compact"/>
            </w:pPr>
            <w:r>
              <w:t xml:space="preserve">16</w:t>
            </w:r>
          </w:p>
        </w:tc>
        <w:tc>
          <w:tcPr/>
          <w:p>
            <w:pPr>
              <w:pStyle w:val="Compact"/>
            </w:pPr>
            <w:r>
              <w:t xml:space="preserve">!800</w:t>
            </w:r>
          </w:p>
        </w:tc>
        <w:tc>
          <w:tcPr/>
          <w:p>
            <w:pPr>
              <w:pStyle w:val="Compact"/>
            </w:pPr>
            <w:r>
              <w:t xml:space="preserve">ФЛК поля 800 (Номер акта передачи - РЛ KS2)</w:t>
            </w:r>
          </w:p>
        </w:tc>
      </w:tr>
      <w:tr>
        <w:tc>
          <w:tcPr/>
          <w:p>
            <w:pPr>
              <w:pStyle w:val="Compact"/>
            </w:pPr>
            <w:r>
              <w:t xml:space="preserve">17</w:t>
            </w:r>
          </w:p>
        </w:tc>
        <w:tc>
          <w:tcPr/>
          <w:p>
            <w:pPr>
              <w:pStyle w:val="Compact"/>
            </w:pPr>
            <w:r>
              <w:t xml:space="preserve">!81</w:t>
            </w:r>
          </w:p>
        </w:tc>
        <w:tc>
          <w:tcPr/>
          <w:p>
            <w:pPr>
              <w:pStyle w:val="Compact"/>
            </w:pPr>
            <w:r>
              <w:t xml:space="preserve">ФЛК поля 81</w:t>
            </w:r>
            <w:r>
              <w:t xml:space="preserve"> </w:t>
            </w:r>
            <w:r>
              <w:t xml:space="preserve">“Код организации – краткие данные”</w:t>
            </w:r>
            <w:r>
              <w:t xml:space="preserve"> </w:t>
            </w:r>
            <w:r>
              <w:t xml:space="preserve">на дублетность (РЛ IZD)</w:t>
            </w:r>
          </w:p>
        </w:tc>
      </w:tr>
      <w:tr>
        <w:tc>
          <w:tcPr/>
          <w:p>
            <w:pPr>
              <w:pStyle w:val="Compact"/>
            </w:pPr>
            <w:r>
              <w:t xml:space="preserve">18</w:t>
            </w:r>
          </w:p>
        </w:tc>
        <w:tc>
          <w:tcPr/>
          <w:p>
            <w:pPr>
              <w:pStyle w:val="Compact"/>
            </w:pPr>
            <w:r>
              <w:t xml:space="preserve">!86</w:t>
            </w:r>
          </w:p>
        </w:tc>
        <w:tc>
          <w:tcPr/>
          <w:p>
            <w:pPr>
              <w:pStyle w:val="Compact"/>
            </w:pPr>
            <w:r>
              <w:t xml:space="preserve">ФЛК поля 86</w:t>
            </w:r>
            <w:r>
              <w:t xml:space="preserve"> </w:t>
            </w:r>
            <w:r>
              <w:t xml:space="preserve">“Подписной индекс”</w:t>
            </w:r>
            <w:r>
              <w:t xml:space="preserve"> </w:t>
            </w:r>
            <w:r>
              <w:t xml:space="preserve">на дублетность</w:t>
            </w:r>
          </w:p>
        </w:tc>
      </w:tr>
      <w:tr>
        <w:tc>
          <w:tcPr/>
          <w:p>
            <w:pPr>
              <w:pStyle w:val="Compact"/>
            </w:pPr>
            <w:r>
              <w:t xml:space="preserve">19</w:t>
            </w:r>
          </w:p>
        </w:tc>
        <w:tc>
          <w:tcPr/>
          <w:p>
            <w:pPr>
              <w:pStyle w:val="Compact"/>
            </w:pPr>
            <w:r>
              <w:t xml:space="preserve">!88</w:t>
            </w:r>
          </w:p>
        </w:tc>
        <w:tc>
          <w:tcPr/>
          <w:p>
            <w:pPr>
              <w:pStyle w:val="Compact"/>
            </w:pPr>
            <w:r>
              <w:t xml:space="preserve">ФЛК поля 88 (Сведения о поступлении – РЛ KSU)</w:t>
            </w:r>
          </w:p>
        </w:tc>
      </w:tr>
      <w:tr>
        <w:tc>
          <w:tcPr/>
          <w:p>
            <w:pPr>
              <w:pStyle w:val="Compact"/>
            </w:pPr>
            <w:r>
              <w:t xml:space="preserve">20</w:t>
            </w:r>
          </w:p>
        </w:tc>
        <w:tc>
          <w:tcPr/>
          <w:p>
            <w:pPr>
              <w:pStyle w:val="Compact"/>
            </w:pPr>
            <w:r>
              <w:t xml:space="preserve">!888</w:t>
            </w:r>
          </w:p>
        </w:tc>
        <w:tc>
          <w:tcPr/>
          <w:p>
            <w:pPr>
              <w:pStyle w:val="Compact"/>
            </w:pPr>
            <w:r>
              <w:t xml:space="preserve">ФЛК поля 888 (Сведения о выбытии - РЛ KS2)</w:t>
            </w:r>
          </w:p>
        </w:tc>
      </w:tr>
      <w:tr>
        <w:tc>
          <w:tcPr/>
          <w:p>
            <w:pPr>
              <w:pStyle w:val="Compact"/>
            </w:pPr>
            <w:r>
              <w:t xml:space="preserve">21</w:t>
            </w:r>
          </w:p>
        </w:tc>
        <w:tc>
          <w:tcPr/>
          <w:p>
            <w:pPr>
              <w:pStyle w:val="Compact"/>
            </w:pPr>
            <w:r>
              <w:t xml:space="preserve">!89</w:t>
            </w:r>
          </w:p>
        </w:tc>
        <w:tc>
          <w:tcPr/>
          <w:p>
            <w:pPr>
              <w:pStyle w:val="Compact"/>
            </w:pPr>
            <w:r>
              <w:t xml:space="preserve">ФЛК поля 89</w:t>
            </w:r>
            <w:r>
              <w:t xml:space="preserve"> </w:t>
            </w:r>
            <w:r>
              <w:t xml:space="preserve">“Код организации – полные данные”</w:t>
            </w:r>
            <w:r>
              <w:t xml:space="preserve"> </w:t>
            </w:r>
            <w:r>
              <w:t xml:space="preserve">на дублетность (РЛ IZD)</w:t>
            </w:r>
          </w:p>
        </w:tc>
      </w:tr>
      <w:tr>
        <w:tc>
          <w:tcPr/>
          <w:p>
            <w:pPr>
              <w:pStyle w:val="Compact"/>
            </w:pPr>
            <w:r>
              <w:t xml:space="preserve">22</w:t>
            </w:r>
          </w:p>
        </w:tc>
        <w:tc>
          <w:tcPr/>
          <w:p>
            <w:pPr>
              <w:pStyle w:val="Compact"/>
            </w:pPr>
            <w:r>
              <w:t xml:space="preserve">!700d</w:t>
            </w:r>
          </w:p>
        </w:tc>
        <w:tc>
          <w:tcPr/>
          <w:p>
            <w:pPr>
              <w:pStyle w:val="Compact"/>
            </w:pPr>
            <w:r>
              <w:t xml:space="preserve">ФЛК на правильность структуры поля</w:t>
            </w:r>
            <w:r>
              <w:t xml:space="preserve"> </w:t>
            </w:r>
            <w:r>
              <w:t xml:space="preserve">“Автор”</w:t>
            </w:r>
            <w:r>
              <w:t xml:space="preserve"> </w:t>
            </w:r>
            <w:r>
              <w:t xml:space="preserve">при проверке на дублетность</w:t>
            </w:r>
          </w:p>
        </w:tc>
      </w:tr>
      <w:tr>
        <w:tc>
          <w:tcPr/>
          <w:p>
            <w:pPr>
              <w:pStyle w:val="Compact"/>
            </w:pPr>
            <w:r>
              <w:t xml:space="preserve">23</w:t>
            </w:r>
          </w:p>
        </w:tc>
        <w:tc>
          <w:tcPr/>
          <w:p>
            <w:pPr>
              <w:pStyle w:val="Compact"/>
            </w:pPr>
            <w:r>
              <w:t xml:space="preserve">!710d</w:t>
            </w:r>
          </w:p>
        </w:tc>
        <w:tc>
          <w:tcPr/>
          <w:p>
            <w:pPr>
              <w:pStyle w:val="Compact"/>
            </w:pPr>
            <w:r>
              <w:t xml:space="preserve">ФЛК на правильность структуры поля</w:t>
            </w:r>
            <w:r>
              <w:t xml:space="preserve"> </w:t>
            </w:r>
            <w:r>
              <w:t xml:space="preserve">“Коллективный автор”</w:t>
            </w:r>
            <w:r>
              <w:t xml:space="preserve"> </w:t>
            </w:r>
            <w:r>
              <w:t xml:space="preserve">при проверке на дублетность</w:t>
            </w:r>
          </w:p>
        </w:tc>
      </w:tr>
      <w:tr>
        <w:tc>
          <w:tcPr/>
          <w:p>
            <w:pPr>
              <w:pStyle w:val="Compact"/>
            </w:pPr>
            <w:r>
              <w:t xml:space="preserve">24</w:t>
            </w:r>
          </w:p>
        </w:tc>
        <w:tc>
          <w:tcPr/>
          <w:p>
            <w:pPr>
              <w:pStyle w:val="Compact"/>
            </w:pPr>
            <w:r>
              <w:t xml:space="preserve">!900</w:t>
            </w:r>
          </w:p>
        </w:tc>
        <w:tc>
          <w:tcPr/>
          <w:p>
            <w:pPr>
              <w:pStyle w:val="Compact"/>
            </w:pPr>
            <w:r>
              <w:t xml:space="preserve">ФЛК поля</w:t>
            </w:r>
            <w:r>
              <w:t xml:space="preserve"> </w:t>
            </w:r>
            <w:r>
              <w:t xml:space="preserve">“Кодированные данные”</w:t>
            </w:r>
          </w:p>
        </w:tc>
      </w:tr>
      <w:tr>
        <w:tc>
          <w:tcPr/>
          <w:p>
            <w:pPr>
              <w:pStyle w:val="Compact"/>
            </w:pPr>
            <w:r>
              <w:t xml:space="preserve">25</w:t>
            </w:r>
          </w:p>
        </w:tc>
        <w:tc>
          <w:tcPr/>
          <w:p>
            <w:pPr>
              <w:pStyle w:val="Compact"/>
            </w:pPr>
            <w:r>
              <w:t xml:space="preserve">!903</w:t>
            </w:r>
          </w:p>
        </w:tc>
        <w:tc>
          <w:tcPr/>
          <w:p>
            <w:pPr>
              <w:pStyle w:val="Compact"/>
            </w:pPr>
            <w:r>
              <w:t xml:space="preserve">ФЛК поля</w:t>
            </w:r>
            <w:r>
              <w:t xml:space="preserve"> </w:t>
            </w:r>
            <w:r>
              <w:t xml:space="preserve">“Шифр документа”</w:t>
            </w:r>
            <w:r>
              <w:t xml:space="preserve"> </w:t>
            </w:r>
            <w:r>
              <w:t xml:space="preserve">на дублетность</w:t>
            </w:r>
          </w:p>
        </w:tc>
      </w:tr>
      <w:tr>
        <w:tc>
          <w:tcPr/>
          <w:p>
            <w:pPr>
              <w:pStyle w:val="Compact"/>
            </w:pPr>
            <w:r>
              <w:t xml:space="preserve">26</w:t>
            </w:r>
          </w:p>
        </w:tc>
        <w:tc>
          <w:tcPr/>
          <w:p>
            <w:pPr>
              <w:pStyle w:val="Compact"/>
            </w:pPr>
            <w:r>
              <w:t xml:space="preserve">!907</w:t>
            </w:r>
          </w:p>
        </w:tc>
        <w:tc>
          <w:tcPr/>
          <w:p>
            <w:pPr>
              <w:pStyle w:val="Compact"/>
            </w:pPr>
            <w:r>
              <w:t xml:space="preserve">ФЛК поля</w:t>
            </w:r>
            <w:r>
              <w:t xml:space="preserve"> </w:t>
            </w:r>
            <w:r>
              <w:t xml:space="preserve">“Каталогизатор, Дата”</w:t>
            </w:r>
          </w:p>
        </w:tc>
      </w:tr>
      <w:tr>
        <w:tc>
          <w:tcPr/>
          <w:p>
            <w:pPr>
              <w:pStyle w:val="Compact"/>
            </w:pPr>
            <w:r>
              <w:t xml:space="preserve">27</w:t>
            </w:r>
          </w:p>
        </w:tc>
        <w:tc>
          <w:tcPr/>
          <w:p>
            <w:pPr>
              <w:pStyle w:val="Compact"/>
            </w:pPr>
            <w:r>
              <w:t xml:space="preserve">!910</w:t>
            </w:r>
          </w:p>
        </w:tc>
        <w:tc>
          <w:tcPr/>
          <w:p>
            <w:pPr>
              <w:pStyle w:val="Compact"/>
            </w:pPr>
            <w:r>
              <w:t xml:space="preserve">ФЛК поля</w:t>
            </w:r>
            <w:r>
              <w:t xml:space="preserve"> </w:t>
            </w:r>
            <w:r>
              <w:t xml:space="preserve">“Экземпляры”</w:t>
            </w:r>
          </w:p>
        </w:tc>
      </w:tr>
      <w:tr>
        <w:tc>
          <w:tcPr/>
          <w:p>
            <w:pPr>
              <w:pStyle w:val="Compact"/>
            </w:pPr>
            <w:r>
              <w:t xml:space="preserve">28</w:t>
            </w:r>
          </w:p>
        </w:tc>
        <w:tc>
          <w:tcPr/>
          <w:p>
            <w:pPr>
              <w:pStyle w:val="Compact"/>
            </w:pPr>
            <w:r>
              <w:t xml:space="preserve">!920</w:t>
            </w:r>
          </w:p>
        </w:tc>
        <w:tc>
          <w:tcPr/>
          <w:p>
            <w:pPr>
              <w:pStyle w:val="Compact"/>
            </w:pPr>
            <w:r>
              <w:t xml:space="preserve">ФЛК поля</w:t>
            </w:r>
            <w:r>
              <w:t xml:space="preserve"> </w:t>
            </w:r>
            <w:r>
              <w:t xml:space="preserve">“Код РЛ”</w:t>
            </w:r>
          </w:p>
        </w:tc>
      </w:tr>
      <w:tr>
        <w:tc>
          <w:tcPr/>
          <w:p>
            <w:pPr>
              <w:pStyle w:val="Compact"/>
            </w:pPr>
            <w:r>
              <w:t xml:space="preserve">29</w:t>
            </w:r>
          </w:p>
        </w:tc>
        <w:tc>
          <w:tcPr/>
          <w:p>
            <w:pPr>
              <w:pStyle w:val="Compact"/>
            </w:pPr>
            <w:r>
              <w:t xml:space="preserve">!972</w:t>
            </w:r>
          </w:p>
        </w:tc>
        <w:tc>
          <w:tcPr/>
          <w:p>
            <w:pPr>
              <w:pStyle w:val="Compact"/>
            </w:pPr>
            <w:r>
              <w:t xml:space="preserve">ФЛК на правильность структуры поля</w:t>
            </w:r>
            <w:r>
              <w:t xml:space="preserve"> </w:t>
            </w:r>
            <w:r>
              <w:t xml:space="preserve">“Конференция, мероприятие”</w:t>
            </w:r>
            <w:r>
              <w:t xml:space="preserve"> </w:t>
            </w:r>
            <w:r>
              <w:t xml:space="preserve">при проверке на дублетность</w:t>
            </w:r>
          </w:p>
        </w:tc>
      </w:tr>
      <w:tr>
        <w:tc>
          <w:tcPr/>
          <w:p>
            <w:pPr>
              <w:pStyle w:val="Compact"/>
            </w:pPr>
            <w:r>
              <w:t xml:space="preserve">30</w:t>
            </w:r>
          </w:p>
        </w:tc>
        <w:tc>
          <w:tcPr/>
          <w:p>
            <w:pPr>
              <w:pStyle w:val="Compact"/>
            </w:pPr>
            <w:r>
              <w:t xml:space="preserve">!kdk</w:t>
            </w:r>
          </w:p>
        </w:tc>
        <w:tc>
          <w:tcPr/>
          <w:p>
            <w:pPr>
              <w:pStyle w:val="Compact"/>
            </w:pPr>
            <w:r>
              <w:t xml:space="preserve">Контроль на дублетность (РЛ ZK)</w:t>
            </w:r>
          </w:p>
        </w:tc>
      </w:tr>
      <w:tr>
        <w:tc>
          <w:tcPr/>
          <w:p>
            <w:pPr>
              <w:pStyle w:val="Compact"/>
            </w:pPr>
            <w:r>
              <w:t xml:space="preserve">31</w:t>
            </w:r>
          </w:p>
        </w:tc>
        <w:tc>
          <w:tcPr/>
          <w:p>
            <w:pPr>
              <w:pStyle w:val="Compact"/>
            </w:pPr>
            <w:r>
              <w:t xml:space="preserve">all</w:t>
            </w:r>
          </w:p>
        </w:tc>
        <w:tc>
          <w:tcPr/>
          <w:p>
            <w:pPr>
              <w:pStyle w:val="Compact"/>
            </w:pPr>
            <w:r>
              <w:t xml:space="preserve">Просмотр документа по полям</w:t>
            </w:r>
          </w:p>
        </w:tc>
      </w:tr>
      <w:tr>
        <w:tc>
          <w:tcPr/>
          <w:p>
            <w:pPr>
              <w:pStyle w:val="Compact"/>
            </w:pPr>
            <w:r>
              <w:t xml:space="preserve">32</w:t>
            </w:r>
          </w:p>
        </w:tc>
        <w:tc>
          <w:tcPr/>
          <w:p>
            <w:pPr>
              <w:pStyle w:val="Compact"/>
            </w:pPr>
            <w:r>
              <w:t xml:space="preserve">brief</w:t>
            </w:r>
          </w:p>
        </w:tc>
        <w:tc>
          <w:tcPr/>
          <w:p>
            <w:pPr>
              <w:pStyle w:val="Compact"/>
            </w:pPr>
            <w:r>
              <w:t xml:space="preserve">Просмотр документа в кратком виде</w:t>
            </w:r>
          </w:p>
        </w:tc>
      </w:tr>
      <w:tr>
        <w:tc>
          <w:tcPr/>
          <w:p>
            <w:pPr>
              <w:pStyle w:val="Compact"/>
            </w:pPr>
            <w:r>
              <w:t xml:space="preserve">33</w:t>
            </w:r>
          </w:p>
        </w:tc>
        <w:tc>
          <w:tcPr/>
          <w:p>
            <w:pPr>
              <w:pStyle w:val="Compact"/>
            </w:pPr>
            <w:r>
              <w:t xml:space="preserve">cmplw</w:t>
            </w:r>
          </w:p>
        </w:tc>
        <w:tc>
          <w:tcPr/>
          <w:p>
            <w:pPr>
              <w:pStyle w:val="Compact"/>
            </w:pPr>
            <w:r>
              <w:t xml:space="preserve">Просмотр документов всех типов в кратком виде</w:t>
            </w:r>
          </w:p>
        </w:tc>
      </w:tr>
      <w:tr>
        <w:tc>
          <w:tcPr/>
          <w:p>
            <w:pPr>
              <w:pStyle w:val="Compact"/>
            </w:pPr>
            <w:r>
              <w:t xml:space="preserve">34</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35</w:t>
            </w:r>
          </w:p>
        </w:tc>
        <w:tc>
          <w:tcPr/>
          <w:p>
            <w:pPr>
              <w:pStyle w:val="Compact"/>
            </w:pPr>
            <w:r>
              <w:t xml:space="preserve">ks2w</w:t>
            </w:r>
          </w:p>
        </w:tc>
        <w:tc>
          <w:tcPr/>
          <w:p>
            <w:pPr>
              <w:pStyle w:val="Compact"/>
            </w:pPr>
            <w:r>
              <w:t xml:space="preserve">Просмотр документа</w:t>
            </w:r>
            <w:r>
              <w:t xml:space="preserve"> </w:t>
            </w:r>
            <w:r>
              <w:t xml:space="preserve">“КСУ выбытия”</w:t>
            </w:r>
            <w:r>
              <w:t xml:space="preserve"> </w:t>
            </w:r>
            <w:r>
              <w:t xml:space="preserve">в полном виде</w:t>
            </w:r>
          </w:p>
        </w:tc>
      </w:tr>
      <w:tr>
        <w:tc>
          <w:tcPr/>
          <w:p>
            <w:pPr>
              <w:pStyle w:val="Compact"/>
            </w:pPr>
            <w:r>
              <w:t xml:space="preserve">36</w:t>
            </w:r>
          </w:p>
        </w:tc>
        <w:tc>
          <w:tcPr/>
          <w:p>
            <w:pPr>
              <w:pStyle w:val="Compact"/>
            </w:pPr>
            <w:r>
              <w:t xml:space="preserve">ksuw</w:t>
            </w:r>
          </w:p>
        </w:tc>
        <w:tc>
          <w:tcPr/>
          <w:p>
            <w:pPr>
              <w:pStyle w:val="Compact"/>
            </w:pPr>
            <w:r>
              <w:t xml:space="preserve">Просмотр документа</w:t>
            </w:r>
            <w:r>
              <w:t xml:space="preserve"> </w:t>
            </w:r>
            <w:r>
              <w:t xml:space="preserve">“КСУ поступления”</w:t>
            </w:r>
            <w:r>
              <w:t xml:space="preserve"> </w:t>
            </w:r>
            <w:r>
              <w:t xml:space="preserve">в полном виде</w:t>
            </w:r>
          </w:p>
        </w:tc>
      </w:tr>
      <w:tr>
        <w:tc>
          <w:tcPr/>
          <w:p>
            <w:pPr>
              <w:pStyle w:val="Compact"/>
            </w:pPr>
            <w:r>
              <w:t xml:space="preserve">37</w:t>
            </w:r>
          </w:p>
        </w:tc>
        <w:tc>
          <w:tcPr/>
          <w:p>
            <w:pPr>
              <w:pStyle w:val="Compact"/>
            </w:pPr>
            <w:r>
              <w:t xml:space="preserve">orgzkw</w:t>
            </w:r>
          </w:p>
        </w:tc>
        <w:tc>
          <w:tcPr/>
          <w:p>
            <w:pPr>
              <w:pStyle w:val="Compact"/>
            </w:pPr>
          </w:p>
        </w:tc>
      </w:tr>
      <w:tr>
        <w:tc>
          <w:tcPr/>
          <w:p>
            <w:pPr>
              <w:pStyle w:val="Compact"/>
            </w:pPr>
            <w:r>
              <w:t xml:space="preserve">38</w:t>
            </w:r>
          </w:p>
        </w:tc>
        <w:tc>
          <w:tcPr/>
          <w:p>
            <w:pPr>
              <w:pStyle w:val="Compact"/>
            </w:pPr>
            <w:r>
              <w:t xml:space="preserve">tab4bhw</w:t>
            </w:r>
          </w:p>
        </w:tc>
        <w:tc>
          <w:tcPr/>
          <w:p>
            <w:pPr>
              <w:pStyle w:val="Compact"/>
            </w:pPr>
            <w:r>
              <w:t xml:space="preserve">Заголовок для табличной формы TAB4BW (Задача</w:t>
            </w:r>
            <w:r>
              <w:t xml:space="preserve"> </w:t>
            </w:r>
            <w:r>
              <w:t xml:space="preserve">“Поступление книг”</w:t>
            </w:r>
            <w:r>
              <w:t xml:space="preserve">)</w:t>
            </w:r>
          </w:p>
        </w:tc>
      </w:tr>
      <w:tr>
        <w:tc>
          <w:tcPr/>
          <w:p>
            <w:pPr>
              <w:pStyle w:val="Compact"/>
            </w:pPr>
            <w:r>
              <w:t xml:space="preserve">39</w:t>
            </w:r>
          </w:p>
        </w:tc>
        <w:tc>
          <w:tcPr/>
          <w:p>
            <w:pPr>
              <w:pStyle w:val="Compact"/>
            </w:pPr>
            <w:r>
              <w:t xml:space="preserve">tab4bw</w:t>
            </w:r>
          </w:p>
        </w:tc>
        <w:tc>
          <w:tcPr/>
          <w:p>
            <w:pPr>
              <w:pStyle w:val="Compact"/>
            </w:pPr>
            <w:r>
              <w:t xml:space="preserve">Для табличной формы TAB4BW (Задача</w:t>
            </w:r>
            <w:r>
              <w:t xml:space="preserve"> </w:t>
            </w:r>
            <w:r>
              <w:t xml:space="preserve">“Поступление книг”</w:t>
            </w:r>
            <w:r>
              <w:t xml:space="preserve">)</w:t>
            </w:r>
          </w:p>
        </w:tc>
      </w:tr>
      <w:tr>
        <w:tc>
          <w:tcPr/>
          <w:p>
            <w:pPr>
              <w:pStyle w:val="Compact"/>
            </w:pPr>
            <w:r>
              <w:t xml:space="preserve">40</w:t>
            </w:r>
          </w:p>
        </w:tc>
        <w:tc>
          <w:tcPr/>
          <w:p>
            <w:pPr>
              <w:pStyle w:val="Compact"/>
            </w:pPr>
            <w:r>
              <w:t xml:space="preserve">tab4ohw</w:t>
            </w:r>
          </w:p>
        </w:tc>
        <w:tc>
          <w:tcPr/>
          <w:p>
            <w:pPr>
              <w:pStyle w:val="Compact"/>
            </w:pPr>
            <w:r>
              <w:t xml:space="preserve">Заголовок для табличной формы TAB4OW (Задача</w:t>
            </w:r>
            <w:r>
              <w:t xml:space="preserve"> </w:t>
            </w:r>
            <w:r>
              <w:t xml:space="preserve">“Поступление книг”</w:t>
            </w:r>
            <w:r>
              <w:t xml:space="preserve">)</w:t>
            </w:r>
          </w:p>
        </w:tc>
      </w:tr>
      <w:tr>
        <w:tc>
          <w:tcPr/>
          <w:p>
            <w:pPr>
              <w:pStyle w:val="Compact"/>
            </w:pPr>
            <w:r>
              <w:t xml:space="preserve">41</w:t>
            </w:r>
          </w:p>
        </w:tc>
        <w:tc>
          <w:tcPr/>
          <w:p>
            <w:pPr>
              <w:pStyle w:val="Compact"/>
            </w:pPr>
            <w:r>
              <w:t xml:space="preserve">tab4ow</w:t>
            </w:r>
          </w:p>
        </w:tc>
        <w:tc>
          <w:tcPr/>
          <w:p>
            <w:pPr>
              <w:pStyle w:val="Compact"/>
            </w:pPr>
            <w:r>
              <w:t xml:space="preserve">Для табличной формы TAB4OW (Задача</w:t>
            </w:r>
            <w:r>
              <w:t xml:space="preserve"> </w:t>
            </w:r>
            <w:r>
              <w:t xml:space="preserve">“Поступление книг”</w:t>
            </w:r>
            <w:r>
              <w:t xml:space="preserve">)</w:t>
            </w:r>
          </w:p>
        </w:tc>
      </w:tr>
      <w:tr>
        <w:tc>
          <w:tcPr/>
          <w:p>
            <w:pPr>
              <w:pStyle w:val="Compact"/>
            </w:pPr>
            <w:r>
              <w:t xml:space="preserve">42</w:t>
            </w:r>
          </w:p>
        </w:tc>
        <w:tc>
          <w:tcPr/>
          <w:p>
            <w:pPr>
              <w:pStyle w:val="Compact"/>
            </w:pPr>
            <w:r>
              <w:t xml:space="preserve">taba1w</w:t>
            </w:r>
          </w:p>
        </w:tc>
        <w:tc>
          <w:tcPr/>
          <w:p>
            <w:pPr>
              <w:pStyle w:val="Compact"/>
            </w:pPr>
            <w:r>
              <w:t xml:space="preserve">Для табличной формы TABA1W (Задача</w:t>
            </w:r>
            <w:r>
              <w:t xml:space="preserve"> </w:t>
            </w:r>
            <w:r>
              <w:t xml:space="preserve">“Подписка периодики”</w:t>
            </w:r>
            <w:r>
              <w:t xml:space="preserve">)</w:t>
            </w:r>
          </w:p>
        </w:tc>
      </w:tr>
      <w:tr>
        <w:tc>
          <w:tcPr/>
          <w:p>
            <w:pPr>
              <w:pStyle w:val="Compact"/>
            </w:pPr>
            <w:r>
              <w:t xml:space="preserve">43</w:t>
            </w:r>
          </w:p>
        </w:tc>
        <w:tc>
          <w:tcPr/>
          <w:p>
            <w:pPr>
              <w:pStyle w:val="Compact"/>
            </w:pPr>
            <w:r>
              <w:t xml:space="preserve">taba2w</w:t>
            </w:r>
          </w:p>
        </w:tc>
        <w:tc>
          <w:tcPr/>
          <w:p>
            <w:pPr>
              <w:pStyle w:val="Compact"/>
            </w:pPr>
            <w:r>
              <w:t xml:space="preserve">Для табличной формы TABA2W (Задача</w:t>
            </w:r>
            <w:r>
              <w:t xml:space="preserve"> </w:t>
            </w:r>
            <w:r>
              <w:t xml:space="preserve">“Подписка периодики”</w:t>
            </w:r>
            <w:r>
              <w:t xml:space="preserve">)</w:t>
            </w:r>
          </w:p>
        </w:tc>
      </w:tr>
      <w:tr>
        <w:tc>
          <w:tcPr/>
          <w:p>
            <w:pPr>
              <w:pStyle w:val="Compact"/>
            </w:pPr>
            <w:r>
              <w:t xml:space="preserve">44</w:t>
            </w:r>
          </w:p>
        </w:tc>
        <w:tc>
          <w:tcPr/>
          <w:p>
            <w:pPr>
              <w:pStyle w:val="Compact"/>
            </w:pPr>
            <w:r>
              <w:t xml:space="preserve">tababw</w:t>
            </w:r>
          </w:p>
        </w:tc>
        <w:tc>
          <w:tcPr/>
          <w:p>
            <w:pPr>
              <w:pStyle w:val="Compact"/>
            </w:pPr>
            <w:r>
              <w:t xml:space="preserve">Для табличной формы TABABW (Задача</w:t>
            </w:r>
            <w:r>
              <w:t xml:space="preserve"> </w:t>
            </w:r>
            <w:r>
              <w:t xml:space="preserve">“Подписка периодики”</w:t>
            </w:r>
            <w:r>
              <w:t xml:space="preserve">)</w:t>
            </w:r>
          </w:p>
        </w:tc>
      </w:tr>
      <w:tr>
        <w:tc>
          <w:tcPr/>
          <w:p>
            <w:pPr>
              <w:pStyle w:val="Compact"/>
            </w:pPr>
            <w:r>
              <w:t xml:space="preserve">45</w:t>
            </w:r>
          </w:p>
        </w:tc>
        <w:tc>
          <w:tcPr/>
          <w:p>
            <w:pPr>
              <w:pStyle w:val="Compact"/>
            </w:pPr>
            <w:r>
              <w:t xml:space="preserve">tabf1hw</w:t>
            </w:r>
          </w:p>
        </w:tc>
        <w:tc>
          <w:tcPr/>
          <w:p>
            <w:pPr>
              <w:pStyle w:val="Compact"/>
            </w:pPr>
            <w:r>
              <w:t xml:space="preserve">Заголовок для табличной формы TABF1W (Задача</w:t>
            </w:r>
            <w:r>
              <w:t xml:space="preserve"> </w:t>
            </w:r>
            <w:r>
              <w:t xml:space="preserve">“Заказ книг”</w:t>
            </w:r>
            <w:r>
              <w:t xml:space="preserve">)</w:t>
            </w:r>
          </w:p>
        </w:tc>
      </w:tr>
      <w:tr>
        <w:tc>
          <w:tcPr/>
          <w:p>
            <w:pPr>
              <w:pStyle w:val="Compact"/>
            </w:pPr>
            <w:r>
              <w:t xml:space="preserve">46</w:t>
            </w:r>
          </w:p>
        </w:tc>
        <w:tc>
          <w:tcPr/>
          <w:p>
            <w:pPr>
              <w:pStyle w:val="Compact"/>
            </w:pPr>
            <w:r>
              <w:t xml:space="preserve">tabf1w</w:t>
            </w:r>
          </w:p>
        </w:tc>
        <w:tc>
          <w:tcPr/>
          <w:p>
            <w:pPr>
              <w:pStyle w:val="Compact"/>
            </w:pPr>
            <w:r>
              <w:t xml:space="preserve">Для табличной формы TABF1W (Задача</w:t>
            </w:r>
            <w:r>
              <w:t xml:space="preserve"> </w:t>
            </w:r>
            <w:r>
              <w:t xml:space="preserve">“Заказ книг”</w:t>
            </w:r>
            <w:r>
              <w:t xml:space="preserve">)</w:t>
            </w:r>
          </w:p>
        </w:tc>
      </w:tr>
      <w:tr>
        <w:tc>
          <w:tcPr/>
          <w:p>
            <w:pPr>
              <w:pStyle w:val="Compact"/>
            </w:pPr>
            <w:r>
              <w:t xml:space="preserve">47</w:t>
            </w:r>
          </w:p>
        </w:tc>
        <w:tc>
          <w:tcPr/>
          <w:p>
            <w:pPr>
              <w:pStyle w:val="Compact"/>
            </w:pPr>
            <w:r>
              <w:t xml:space="preserve">tabf2hw</w:t>
            </w:r>
          </w:p>
        </w:tc>
        <w:tc>
          <w:tcPr/>
          <w:p>
            <w:pPr>
              <w:pStyle w:val="Compact"/>
            </w:pPr>
            <w:r>
              <w:t xml:space="preserve">Заголовок для табличной формы TABF2W (Задача</w:t>
            </w:r>
            <w:r>
              <w:t xml:space="preserve"> </w:t>
            </w:r>
            <w:r>
              <w:t xml:space="preserve">“Заказ книг”</w:t>
            </w:r>
            <w:r>
              <w:t xml:space="preserve">)</w:t>
            </w:r>
          </w:p>
        </w:tc>
      </w:tr>
      <w:tr>
        <w:tc>
          <w:tcPr/>
          <w:p>
            <w:pPr>
              <w:pStyle w:val="Compact"/>
            </w:pPr>
            <w:r>
              <w:t xml:space="preserve">48</w:t>
            </w:r>
          </w:p>
        </w:tc>
        <w:tc>
          <w:tcPr/>
          <w:p>
            <w:pPr>
              <w:pStyle w:val="Compact"/>
            </w:pPr>
            <w:r>
              <w:t xml:space="preserve">tabf2w</w:t>
            </w:r>
          </w:p>
        </w:tc>
        <w:tc>
          <w:tcPr/>
          <w:p>
            <w:pPr>
              <w:pStyle w:val="Compact"/>
            </w:pPr>
            <w:r>
              <w:t xml:space="preserve">Для табличной формы TABF2W (Задача</w:t>
            </w:r>
            <w:r>
              <w:t xml:space="preserve"> </w:t>
            </w:r>
            <w:r>
              <w:t xml:space="preserve">“Заказ книг”</w:t>
            </w:r>
            <w:r>
              <w:t xml:space="preserve">)</w:t>
            </w:r>
          </w:p>
        </w:tc>
      </w:tr>
      <w:tr>
        <w:tc>
          <w:tcPr/>
          <w:p>
            <w:pPr>
              <w:pStyle w:val="Compact"/>
            </w:pPr>
            <w:r>
              <w:t xml:space="preserve">49</w:t>
            </w:r>
          </w:p>
        </w:tc>
        <w:tc>
          <w:tcPr/>
          <w:p>
            <w:pPr>
              <w:pStyle w:val="Compact"/>
            </w:pPr>
            <w:r>
              <w:t xml:space="preserve">tabf3hw</w:t>
            </w:r>
          </w:p>
        </w:tc>
        <w:tc>
          <w:tcPr/>
          <w:p>
            <w:pPr>
              <w:pStyle w:val="Compact"/>
            </w:pPr>
            <w:r>
              <w:t xml:space="preserve">Заголовок для табличной формы TABF3W (Задача</w:t>
            </w:r>
            <w:r>
              <w:t xml:space="preserve"> </w:t>
            </w:r>
            <w:r>
              <w:t xml:space="preserve">“Поступление книг”</w:t>
            </w:r>
            <w:r>
              <w:t xml:space="preserve">)</w:t>
            </w:r>
          </w:p>
        </w:tc>
      </w:tr>
      <w:tr>
        <w:tc>
          <w:tcPr/>
          <w:p>
            <w:pPr>
              <w:pStyle w:val="Compact"/>
            </w:pPr>
            <w:r>
              <w:t xml:space="preserve">50</w:t>
            </w:r>
          </w:p>
        </w:tc>
        <w:tc>
          <w:tcPr/>
          <w:p>
            <w:pPr>
              <w:pStyle w:val="Compact"/>
            </w:pPr>
            <w:r>
              <w:t xml:space="preserve">tabf3w</w:t>
            </w:r>
          </w:p>
        </w:tc>
        <w:tc>
          <w:tcPr/>
          <w:p>
            <w:pPr>
              <w:pStyle w:val="Compact"/>
            </w:pPr>
            <w:r>
              <w:t xml:space="preserve">Для табличной формы TABF3W (Задача</w:t>
            </w:r>
            <w:r>
              <w:t xml:space="preserve"> </w:t>
            </w:r>
            <w:r>
              <w:t xml:space="preserve">“Поступление книг”</w:t>
            </w:r>
            <w:r>
              <w:t xml:space="preserve">)</w:t>
            </w:r>
          </w:p>
        </w:tc>
      </w:tr>
      <w:tr>
        <w:tc>
          <w:tcPr/>
          <w:p>
            <w:pPr>
              <w:pStyle w:val="Compact"/>
            </w:pPr>
            <w:r>
              <w:t xml:space="preserve">51</w:t>
            </w:r>
          </w:p>
        </w:tc>
        <w:tc>
          <w:tcPr/>
          <w:p>
            <w:pPr>
              <w:pStyle w:val="Compact"/>
            </w:pPr>
            <w:r>
              <w:t xml:space="preserve">tabf4hw</w:t>
            </w:r>
          </w:p>
        </w:tc>
        <w:tc>
          <w:tcPr/>
          <w:p>
            <w:pPr>
              <w:pStyle w:val="Compact"/>
            </w:pPr>
            <w:r>
              <w:t xml:space="preserve">Заголовок для табличной формы TABF4W (Задача</w:t>
            </w:r>
            <w:r>
              <w:t xml:space="preserve"> </w:t>
            </w:r>
            <w:r>
              <w:t xml:space="preserve">“Поступление книг”</w:t>
            </w:r>
            <w:r>
              <w:t xml:space="preserve">)</w:t>
            </w:r>
          </w:p>
        </w:tc>
      </w:tr>
      <w:tr>
        <w:tc>
          <w:tcPr/>
          <w:p>
            <w:pPr>
              <w:pStyle w:val="Compact"/>
            </w:pPr>
            <w:r>
              <w:t xml:space="preserve">52</w:t>
            </w:r>
          </w:p>
        </w:tc>
        <w:tc>
          <w:tcPr/>
          <w:p>
            <w:pPr>
              <w:pStyle w:val="Compact"/>
            </w:pPr>
            <w:r>
              <w:t xml:space="preserve">tabf4w</w:t>
            </w:r>
          </w:p>
        </w:tc>
        <w:tc>
          <w:tcPr/>
          <w:p>
            <w:pPr>
              <w:pStyle w:val="Compact"/>
            </w:pPr>
            <w:r>
              <w:t xml:space="preserve">Для табличной формы TABF4W (Задача</w:t>
            </w:r>
            <w:r>
              <w:t xml:space="preserve"> </w:t>
            </w:r>
            <w:r>
              <w:t xml:space="preserve">“Поступление книг”</w:t>
            </w:r>
            <w:r>
              <w:t xml:space="preserve">)</w:t>
            </w:r>
          </w:p>
        </w:tc>
      </w:tr>
      <w:tr>
        <w:tc>
          <w:tcPr/>
          <w:p>
            <w:pPr>
              <w:pStyle w:val="Compact"/>
            </w:pPr>
            <w:r>
              <w:t xml:space="preserve">53</w:t>
            </w:r>
          </w:p>
        </w:tc>
        <w:tc>
          <w:tcPr/>
          <w:p>
            <w:pPr>
              <w:pStyle w:val="Compact"/>
            </w:pPr>
            <w:r>
              <w:t xml:space="preserve">tabi1hw</w:t>
            </w:r>
          </w:p>
        </w:tc>
        <w:tc>
          <w:tcPr/>
          <w:p>
            <w:pPr>
              <w:pStyle w:val="Compact"/>
            </w:pPr>
            <w:r>
              <w:t xml:space="preserve">Заголовок для табличной формы TABI1W (Задача</w:t>
            </w:r>
            <w:r>
              <w:t xml:space="preserve"> </w:t>
            </w:r>
            <w:r>
              <w:t xml:space="preserve">“Поступление книг”</w:t>
            </w:r>
            <w:r>
              <w:t xml:space="preserve">)</w:t>
            </w:r>
          </w:p>
        </w:tc>
      </w:tr>
      <w:tr>
        <w:tc>
          <w:tcPr/>
          <w:p>
            <w:pPr>
              <w:pStyle w:val="Compact"/>
            </w:pPr>
            <w:r>
              <w:t xml:space="preserve">54</w:t>
            </w:r>
          </w:p>
        </w:tc>
        <w:tc>
          <w:tcPr/>
          <w:p>
            <w:pPr>
              <w:pStyle w:val="Compact"/>
            </w:pPr>
            <w:r>
              <w:t xml:space="preserve">tabi1w</w:t>
            </w:r>
          </w:p>
        </w:tc>
        <w:tc>
          <w:tcPr/>
          <w:p>
            <w:pPr>
              <w:pStyle w:val="Compact"/>
            </w:pPr>
            <w:r>
              <w:t xml:space="preserve">Для табличной формы TABI1W (Задача</w:t>
            </w:r>
            <w:r>
              <w:t xml:space="preserve"> </w:t>
            </w:r>
            <w:r>
              <w:t xml:space="preserve">“Поступление книг”</w:t>
            </w:r>
            <w:r>
              <w:t xml:space="preserve">)</w:t>
            </w:r>
          </w:p>
        </w:tc>
      </w:tr>
      <w:tr>
        <w:tc>
          <w:tcPr/>
          <w:p>
            <w:pPr>
              <w:pStyle w:val="Compact"/>
            </w:pPr>
            <w:r>
              <w:t xml:space="preserve">55</w:t>
            </w:r>
          </w:p>
        </w:tc>
        <w:tc>
          <w:tcPr/>
          <w:p>
            <w:pPr>
              <w:pStyle w:val="Compact"/>
            </w:pPr>
            <w:r>
              <w:t xml:space="preserve">tabi2hw</w:t>
            </w:r>
          </w:p>
        </w:tc>
        <w:tc>
          <w:tcPr/>
          <w:p>
            <w:pPr>
              <w:pStyle w:val="Compact"/>
            </w:pPr>
            <w:r>
              <w:t xml:space="preserve">Заголовок для табличной формы TABI2W (Задача</w:t>
            </w:r>
            <w:r>
              <w:t xml:space="preserve"> </w:t>
            </w:r>
            <w:r>
              <w:t xml:space="preserve">“Поступление книг”</w:t>
            </w:r>
            <w:r>
              <w:t xml:space="preserve">)</w:t>
            </w:r>
          </w:p>
        </w:tc>
      </w:tr>
      <w:tr>
        <w:tc>
          <w:tcPr/>
          <w:p>
            <w:pPr>
              <w:pStyle w:val="Compact"/>
            </w:pPr>
            <w:r>
              <w:t xml:space="preserve">56</w:t>
            </w:r>
          </w:p>
        </w:tc>
        <w:tc>
          <w:tcPr/>
          <w:p>
            <w:pPr>
              <w:pStyle w:val="Compact"/>
            </w:pPr>
            <w:r>
              <w:t xml:space="preserve">tabi2w</w:t>
            </w:r>
          </w:p>
        </w:tc>
        <w:tc>
          <w:tcPr/>
          <w:p>
            <w:pPr>
              <w:pStyle w:val="Compact"/>
            </w:pPr>
            <w:r>
              <w:t xml:space="preserve">Для табличной формы TABI2W (Задача</w:t>
            </w:r>
            <w:r>
              <w:t xml:space="preserve"> </w:t>
            </w:r>
            <w:r>
              <w:t xml:space="preserve">“Поступление книг”</w:t>
            </w:r>
            <w:r>
              <w:t xml:space="preserve">)</w:t>
            </w:r>
          </w:p>
        </w:tc>
      </w:tr>
      <w:tr>
        <w:tc>
          <w:tcPr/>
          <w:p>
            <w:pPr>
              <w:pStyle w:val="Compact"/>
            </w:pPr>
            <w:r>
              <w:t xml:space="preserve">57</w:t>
            </w:r>
          </w:p>
        </w:tc>
        <w:tc>
          <w:tcPr/>
          <w:p>
            <w:pPr>
              <w:pStyle w:val="Compact"/>
            </w:pPr>
            <w:r>
              <w:t xml:space="preserve">tabi3hw</w:t>
            </w:r>
          </w:p>
        </w:tc>
        <w:tc>
          <w:tcPr/>
          <w:p>
            <w:pPr>
              <w:pStyle w:val="Compact"/>
            </w:pPr>
            <w:r>
              <w:t xml:space="preserve">Заголовок для табличной формы TABI3W (Задача</w:t>
            </w:r>
            <w:r>
              <w:t xml:space="preserve"> </w:t>
            </w:r>
            <w:r>
              <w:t xml:space="preserve">“Поступление книг”</w:t>
            </w:r>
            <w:r>
              <w:t xml:space="preserve">)</w:t>
            </w:r>
          </w:p>
        </w:tc>
      </w:tr>
      <w:tr>
        <w:tc>
          <w:tcPr/>
          <w:p>
            <w:pPr>
              <w:pStyle w:val="Compact"/>
            </w:pPr>
            <w:r>
              <w:t xml:space="preserve">58</w:t>
            </w:r>
          </w:p>
        </w:tc>
        <w:tc>
          <w:tcPr/>
          <w:p>
            <w:pPr>
              <w:pStyle w:val="Compact"/>
            </w:pPr>
            <w:r>
              <w:t xml:space="preserve">tabi3w</w:t>
            </w:r>
          </w:p>
        </w:tc>
        <w:tc>
          <w:tcPr/>
          <w:p>
            <w:pPr>
              <w:pStyle w:val="Compact"/>
            </w:pPr>
            <w:r>
              <w:t xml:space="preserve">Для табличной формы TABI3W (Задача</w:t>
            </w:r>
            <w:r>
              <w:t xml:space="preserve"> </w:t>
            </w:r>
            <w:r>
              <w:t xml:space="preserve">“Поступление книг”</w:t>
            </w:r>
            <w:r>
              <w:t xml:space="preserve">)</w:t>
            </w:r>
          </w:p>
        </w:tc>
      </w:tr>
      <w:tr>
        <w:tc>
          <w:tcPr/>
          <w:p>
            <w:pPr>
              <w:pStyle w:val="Compact"/>
            </w:pPr>
            <w:r>
              <w:t xml:space="preserve">59</w:t>
            </w:r>
          </w:p>
        </w:tc>
        <w:tc>
          <w:tcPr/>
          <w:p>
            <w:pPr>
              <w:pStyle w:val="Compact"/>
            </w:pPr>
            <w:r>
              <w:t xml:space="preserve">tabi4bhw</w:t>
            </w:r>
          </w:p>
        </w:tc>
        <w:tc>
          <w:tcPr/>
          <w:p>
            <w:pPr>
              <w:pStyle w:val="Compact"/>
            </w:pPr>
            <w:r>
              <w:t xml:space="preserve">Заголовок для табличной формы TABI4BW (Задача</w:t>
            </w:r>
            <w:r>
              <w:t xml:space="preserve"> </w:t>
            </w:r>
            <w:r>
              <w:t xml:space="preserve">“Поступление книг”</w:t>
            </w:r>
            <w:r>
              <w:t xml:space="preserve">)</w:t>
            </w:r>
          </w:p>
        </w:tc>
      </w:tr>
      <w:tr>
        <w:tc>
          <w:tcPr/>
          <w:p>
            <w:pPr>
              <w:pStyle w:val="Compact"/>
            </w:pPr>
            <w:r>
              <w:t xml:space="preserve">60</w:t>
            </w:r>
          </w:p>
        </w:tc>
        <w:tc>
          <w:tcPr/>
          <w:p>
            <w:pPr>
              <w:pStyle w:val="Compact"/>
            </w:pPr>
            <w:r>
              <w:t xml:space="preserve">tabi4bw</w:t>
            </w:r>
          </w:p>
        </w:tc>
        <w:tc>
          <w:tcPr/>
          <w:p>
            <w:pPr>
              <w:pStyle w:val="Compact"/>
            </w:pPr>
            <w:r>
              <w:t xml:space="preserve">Для табличной формы TABI4BW (Задача</w:t>
            </w:r>
            <w:r>
              <w:t xml:space="preserve"> </w:t>
            </w:r>
            <w:r>
              <w:t xml:space="preserve">“Поступление книг”</w:t>
            </w:r>
            <w:r>
              <w:t xml:space="preserve">)</w:t>
            </w:r>
          </w:p>
        </w:tc>
      </w:tr>
      <w:tr>
        <w:tc>
          <w:tcPr/>
          <w:p>
            <w:pPr>
              <w:pStyle w:val="Compact"/>
            </w:pPr>
            <w:r>
              <w:t xml:space="preserve">61</w:t>
            </w:r>
          </w:p>
        </w:tc>
        <w:tc>
          <w:tcPr/>
          <w:p>
            <w:pPr>
              <w:pStyle w:val="Compact"/>
            </w:pPr>
            <w:r>
              <w:t xml:space="preserve">tabi4ohw</w:t>
            </w:r>
          </w:p>
        </w:tc>
        <w:tc>
          <w:tcPr/>
          <w:p>
            <w:pPr>
              <w:pStyle w:val="Compact"/>
            </w:pPr>
            <w:r>
              <w:t xml:space="preserve">Заголовок для табличной формы TABI4OW (Задача</w:t>
            </w:r>
            <w:r>
              <w:t xml:space="preserve"> </w:t>
            </w:r>
            <w:r>
              <w:t xml:space="preserve">“Поступление книг”</w:t>
            </w:r>
            <w:r>
              <w:t xml:space="preserve">)</w:t>
            </w:r>
          </w:p>
        </w:tc>
      </w:tr>
      <w:tr>
        <w:tc>
          <w:tcPr/>
          <w:p>
            <w:pPr>
              <w:pStyle w:val="Compact"/>
            </w:pPr>
            <w:r>
              <w:t xml:space="preserve">62</w:t>
            </w:r>
          </w:p>
        </w:tc>
        <w:tc>
          <w:tcPr/>
          <w:p>
            <w:pPr>
              <w:pStyle w:val="Compact"/>
            </w:pPr>
            <w:r>
              <w:t xml:space="preserve">tabi4ow</w:t>
            </w:r>
          </w:p>
        </w:tc>
        <w:tc>
          <w:tcPr/>
          <w:p>
            <w:pPr>
              <w:pStyle w:val="Compact"/>
            </w:pPr>
            <w:r>
              <w:t xml:space="preserve">Для табличной формы TABI4OW (Задача</w:t>
            </w:r>
            <w:r>
              <w:t xml:space="preserve"> </w:t>
            </w:r>
            <w:r>
              <w:t xml:space="preserve">“Поступление книг”</w:t>
            </w:r>
            <w:r>
              <w:t xml:space="preserve">)</w:t>
            </w:r>
          </w:p>
        </w:tc>
      </w:tr>
      <w:tr>
        <w:tc>
          <w:tcPr/>
          <w:p>
            <w:pPr>
              <w:pStyle w:val="Compact"/>
            </w:pPr>
            <w:r>
              <w:t xml:space="preserve">63</w:t>
            </w:r>
          </w:p>
        </w:tc>
        <w:tc>
          <w:tcPr/>
          <w:p>
            <w:pPr>
              <w:pStyle w:val="Compact"/>
            </w:pPr>
            <w:r>
              <w:t xml:space="preserve">tabinhw</w:t>
            </w:r>
          </w:p>
        </w:tc>
        <w:tc>
          <w:tcPr/>
          <w:p>
            <w:pPr>
              <w:pStyle w:val="Compact"/>
            </w:pPr>
            <w:r>
              <w:t xml:space="preserve">Заголовок для табличной формы TABINW (Задача</w:t>
            </w:r>
            <w:r>
              <w:t xml:space="preserve"> </w:t>
            </w:r>
            <w:r>
              <w:t xml:space="preserve">“Поступление книг”</w:t>
            </w:r>
            <w:r>
              <w:t xml:space="preserve">)</w:t>
            </w:r>
          </w:p>
        </w:tc>
      </w:tr>
      <w:tr>
        <w:tc>
          <w:tcPr/>
          <w:p>
            <w:pPr>
              <w:pStyle w:val="Compact"/>
            </w:pPr>
            <w:r>
              <w:t xml:space="preserve">64</w:t>
            </w:r>
          </w:p>
        </w:tc>
        <w:tc>
          <w:tcPr/>
          <w:p>
            <w:pPr>
              <w:pStyle w:val="Compact"/>
            </w:pPr>
            <w:r>
              <w:t xml:space="preserve">tabinw</w:t>
            </w:r>
          </w:p>
        </w:tc>
        <w:tc>
          <w:tcPr/>
          <w:p>
            <w:pPr>
              <w:pStyle w:val="Compact"/>
            </w:pPr>
            <w:r>
              <w:t xml:space="preserve">Для табличной формы TABINW (Задача</w:t>
            </w:r>
            <w:r>
              <w:t xml:space="preserve"> </w:t>
            </w:r>
            <w:r>
              <w:t xml:space="preserve">“Поступление книг”</w:t>
            </w:r>
            <w:r>
              <w:t xml:space="preserve">)</w:t>
            </w:r>
          </w:p>
        </w:tc>
      </w:tr>
      <w:tr>
        <w:tc>
          <w:tcPr/>
          <w:p>
            <w:pPr>
              <w:pStyle w:val="Compact"/>
            </w:pPr>
            <w:r>
              <w:t xml:space="preserve">65</w:t>
            </w:r>
          </w:p>
        </w:tc>
        <w:tc>
          <w:tcPr/>
          <w:p>
            <w:pPr>
              <w:pStyle w:val="Compact"/>
            </w:pPr>
            <w:r>
              <w:t xml:space="preserve">tabiuhw</w:t>
            </w:r>
          </w:p>
        </w:tc>
        <w:tc>
          <w:tcPr/>
          <w:p>
            <w:pPr>
              <w:pStyle w:val="Compact"/>
            </w:pPr>
            <w:r>
              <w:t xml:space="preserve">Заголовок для табличной формы TABIUW (Задача</w:t>
            </w:r>
            <w:r>
              <w:t xml:space="preserve"> </w:t>
            </w:r>
            <w:r>
              <w:t xml:space="preserve">“Поступление книг”</w:t>
            </w:r>
            <w:r>
              <w:t xml:space="preserve">)</w:t>
            </w:r>
          </w:p>
        </w:tc>
      </w:tr>
      <w:tr>
        <w:tc>
          <w:tcPr/>
          <w:p>
            <w:pPr>
              <w:pStyle w:val="Compact"/>
            </w:pPr>
            <w:r>
              <w:t xml:space="preserve">66</w:t>
            </w:r>
          </w:p>
        </w:tc>
        <w:tc>
          <w:tcPr/>
          <w:p>
            <w:pPr>
              <w:pStyle w:val="Compact"/>
            </w:pPr>
            <w:r>
              <w:t xml:space="preserve">tabiuw</w:t>
            </w:r>
          </w:p>
        </w:tc>
        <w:tc>
          <w:tcPr/>
          <w:p>
            <w:pPr>
              <w:pStyle w:val="Compact"/>
            </w:pPr>
            <w:r>
              <w:t xml:space="preserve">Для табличной формы TABIUW (Задача</w:t>
            </w:r>
            <w:r>
              <w:t xml:space="preserve"> </w:t>
            </w:r>
            <w:r>
              <w:t xml:space="preserve">“Поступление книг”</w:t>
            </w:r>
            <w:r>
              <w:t xml:space="preserve">)</w:t>
            </w:r>
          </w:p>
        </w:tc>
      </w:tr>
      <w:tr>
        <w:tc>
          <w:tcPr/>
          <w:p>
            <w:pPr>
              <w:pStyle w:val="Compact"/>
            </w:pPr>
            <w:r>
              <w:t xml:space="preserve">67</w:t>
            </w:r>
          </w:p>
        </w:tc>
        <w:tc>
          <w:tcPr/>
          <w:p>
            <w:pPr>
              <w:pStyle w:val="Compact"/>
            </w:pPr>
            <w:r>
              <w:t xml:space="preserve">tablohw</w:t>
            </w:r>
          </w:p>
        </w:tc>
        <w:tc>
          <w:tcPr/>
          <w:p>
            <w:pPr>
              <w:pStyle w:val="Compact"/>
            </w:pPr>
            <w:r>
              <w:t xml:space="preserve">Заголовок для табличной формы TABLOW (Задача</w:t>
            </w:r>
            <w:r>
              <w:t xml:space="preserve"> </w:t>
            </w:r>
            <w:r>
              <w:t xml:space="preserve">“Подписка периодики”</w:t>
            </w:r>
            <w:r>
              <w:t xml:space="preserve">)</w:t>
            </w:r>
          </w:p>
        </w:tc>
      </w:tr>
      <w:tr>
        <w:tc>
          <w:tcPr/>
          <w:p>
            <w:pPr>
              <w:pStyle w:val="Compact"/>
            </w:pPr>
            <w:r>
              <w:t xml:space="preserve">68</w:t>
            </w:r>
          </w:p>
        </w:tc>
        <w:tc>
          <w:tcPr/>
          <w:p>
            <w:pPr>
              <w:pStyle w:val="Compact"/>
            </w:pPr>
            <w:r>
              <w:t xml:space="preserve">tablow</w:t>
            </w:r>
          </w:p>
        </w:tc>
        <w:tc>
          <w:tcPr/>
          <w:p>
            <w:pPr>
              <w:pStyle w:val="Compact"/>
            </w:pPr>
            <w:r>
              <w:t xml:space="preserve">Для табличной формы TABLOW (Задача</w:t>
            </w:r>
            <w:r>
              <w:t xml:space="preserve"> </w:t>
            </w:r>
            <w:r>
              <w:t xml:space="preserve">“Подписка периодики”</w:t>
            </w:r>
            <w:r>
              <w:t xml:space="preserve">)</w:t>
            </w:r>
          </w:p>
        </w:tc>
      </w:tr>
      <w:tr>
        <w:tc>
          <w:tcPr/>
          <w:p>
            <w:pPr>
              <w:pStyle w:val="Compact"/>
            </w:pPr>
            <w:r>
              <w:t xml:space="preserve">69</w:t>
            </w:r>
          </w:p>
        </w:tc>
        <w:tc>
          <w:tcPr/>
          <w:p>
            <w:pPr>
              <w:pStyle w:val="Compact"/>
            </w:pPr>
            <w:r>
              <w:t xml:space="preserve">tablpw</w:t>
            </w:r>
          </w:p>
        </w:tc>
        <w:tc>
          <w:tcPr/>
          <w:p>
            <w:pPr>
              <w:pStyle w:val="Compact"/>
            </w:pPr>
            <w:r>
              <w:t xml:space="preserve">Заголовок для табличной формы TABLPW (Задача</w:t>
            </w:r>
            <w:r>
              <w:t xml:space="preserve"> </w:t>
            </w:r>
            <w:r>
              <w:t xml:space="preserve">“Подписка периодики”</w:t>
            </w:r>
            <w:r>
              <w:t xml:space="preserve">)</w:t>
            </w:r>
          </w:p>
        </w:tc>
      </w:tr>
      <w:tr>
        <w:tc>
          <w:tcPr/>
          <w:p>
            <w:pPr>
              <w:pStyle w:val="Compact"/>
            </w:pPr>
            <w:r>
              <w:t xml:space="preserve">70</w:t>
            </w:r>
          </w:p>
        </w:tc>
        <w:tc>
          <w:tcPr/>
          <w:p>
            <w:pPr>
              <w:pStyle w:val="Compact"/>
            </w:pPr>
            <w:r>
              <w:t xml:space="preserve">tablpw</w:t>
            </w:r>
          </w:p>
        </w:tc>
        <w:tc>
          <w:tcPr/>
          <w:p>
            <w:pPr>
              <w:pStyle w:val="Compact"/>
            </w:pPr>
            <w:r>
              <w:t xml:space="preserve">Для табличной формы TABLPW (Задача</w:t>
            </w:r>
            <w:r>
              <w:t xml:space="preserve"> </w:t>
            </w:r>
            <w:r>
              <w:t xml:space="preserve">“Подписка периодики”</w:t>
            </w:r>
            <w:r>
              <w:t xml:space="preserve">)</w:t>
            </w:r>
          </w:p>
        </w:tc>
      </w:tr>
      <w:tr>
        <w:tc>
          <w:tcPr/>
          <w:p>
            <w:pPr>
              <w:pStyle w:val="Compact"/>
            </w:pPr>
            <w:r>
              <w:t xml:space="preserve">71</w:t>
            </w:r>
          </w:p>
        </w:tc>
        <w:tc>
          <w:tcPr/>
          <w:p>
            <w:pPr>
              <w:pStyle w:val="Compact"/>
            </w:pPr>
            <w:r>
              <w:t xml:space="preserve">tablshw</w:t>
            </w:r>
          </w:p>
        </w:tc>
        <w:tc>
          <w:tcPr/>
          <w:p>
            <w:pPr>
              <w:pStyle w:val="Compact"/>
            </w:pPr>
            <w:r>
              <w:t xml:space="preserve">Заголовок для табличной формы TABLSW (Задача</w:t>
            </w:r>
            <w:r>
              <w:t xml:space="preserve"> </w:t>
            </w:r>
            <w:r>
              <w:t xml:space="preserve">“Подписка периодики”</w:t>
            </w:r>
            <w:r>
              <w:t xml:space="preserve">)</w:t>
            </w:r>
          </w:p>
        </w:tc>
      </w:tr>
      <w:tr>
        <w:tc>
          <w:tcPr/>
          <w:p>
            <w:pPr>
              <w:pStyle w:val="Compact"/>
            </w:pPr>
            <w:r>
              <w:t xml:space="preserve">72</w:t>
            </w:r>
          </w:p>
        </w:tc>
        <w:tc>
          <w:tcPr/>
          <w:p>
            <w:pPr>
              <w:pStyle w:val="Compact"/>
            </w:pPr>
            <w:r>
              <w:t xml:space="preserve">tablspw</w:t>
            </w:r>
          </w:p>
        </w:tc>
        <w:tc>
          <w:tcPr/>
          <w:p>
            <w:pPr>
              <w:pStyle w:val="Compact"/>
            </w:pPr>
            <w:r>
              <w:t xml:space="preserve">Для табличной формы TABLSW (Задача</w:t>
            </w:r>
            <w:r>
              <w:t xml:space="preserve"> </w:t>
            </w:r>
            <w:r>
              <w:t xml:space="preserve">“Подписка периодики”</w:t>
            </w:r>
            <w:r>
              <w:t xml:space="preserve">)</w:t>
            </w:r>
          </w:p>
        </w:tc>
      </w:tr>
      <w:tr>
        <w:tc>
          <w:tcPr/>
          <w:p>
            <w:pPr>
              <w:pStyle w:val="Compact"/>
            </w:pPr>
            <w:r>
              <w:t xml:space="preserve">73</w:t>
            </w:r>
          </w:p>
        </w:tc>
        <w:tc>
          <w:tcPr/>
          <w:p>
            <w:pPr>
              <w:pStyle w:val="Compact"/>
            </w:pPr>
            <w:r>
              <w:t xml:space="preserve">tablzhw</w:t>
            </w:r>
          </w:p>
        </w:tc>
        <w:tc>
          <w:tcPr/>
          <w:p>
            <w:pPr>
              <w:pStyle w:val="Compact"/>
            </w:pPr>
            <w:r>
              <w:t xml:space="preserve">Заголовок для табличной формы TABLZW (Задача</w:t>
            </w:r>
            <w:r>
              <w:t xml:space="preserve"> </w:t>
            </w:r>
            <w:r>
              <w:t xml:space="preserve">“Подписка периодики”</w:t>
            </w:r>
            <w:r>
              <w:t xml:space="preserve">)</w:t>
            </w:r>
          </w:p>
        </w:tc>
      </w:tr>
      <w:tr>
        <w:tc>
          <w:tcPr/>
          <w:p>
            <w:pPr>
              <w:pStyle w:val="Compact"/>
            </w:pPr>
            <w:r>
              <w:t xml:space="preserve">74</w:t>
            </w:r>
          </w:p>
        </w:tc>
        <w:tc>
          <w:tcPr/>
          <w:p>
            <w:pPr>
              <w:pStyle w:val="Compact"/>
            </w:pPr>
            <w:r>
              <w:t xml:space="preserve">tablzw</w:t>
            </w:r>
          </w:p>
        </w:tc>
        <w:tc>
          <w:tcPr/>
          <w:p>
            <w:pPr>
              <w:pStyle w:val="Compact"/>
            </w:pPr>
            <w:r>
              <w:t xml:space="preserve">Для табличной формы TABLZW (Задача</w:t>
            </w:r>
            <w:r>
              <w:t xml:space="preserve"> </w:t>
            </w:r>
            <w:r>
              <w:t xml:space="preserve">“Подписка периодики”</w:t>
            </w:r>
            <w:r>
              <w:t xml:space="preserve">)</w:t>
            </w:r>
          </w:p>
        </w:tc>
      </w:tr>
      <w:tr>
        <w:tc>
          <w:tcPr/>
          <w:p>
            <w:pPr>
              <w:pStyle w:val="Compact"/>
            </w:pPr>
            <w:r>
              <w:t xml:space="preserve">75</w:t>
            </w:r>
          </w:p>
        </w:tc>
        <w:tc>
          <w:tcPr/>
          <w:p>
            <w:pPr>
              <w:pStyle w:val="Compact"/>
            </w:pPr>
            <w:r>
              <w:t xml:space="preserve">tabspw</w:t>
            </w:r>
          </w:p>
        </w:tc>
        <w:tc>
          <w:tcPr/>
          <w:p>
            <w:pPr>
              <w:pStyle w:val="Compact"/>
            </w:pPr>
            <w:r>
              <w:t xml:space="preserve">Для табличной формы TABSPW (Задача</w:t>
            </w:r>
            <w:r>
              <w:t xml:space="preserve"> </w:t>
            </w:r>
            <w:r>
              <w:t xml:space="preserve">“Заказ книг”</w:t>
            </w:r>
            <w:r>
              <w:t xml:space="preserve">)</w:t>
            </w:r>
          </w:p>
        </w:tc>
      </w:tr>
      <w:tr>
        <w:tc>
          <w:tcPr/>
          <w:p>
            <w:pPr>
              <w:pStyle w:val="Compact"/>
            </w:pPr>
            <w:r>
              <w:t xml:space="preserve">76</w:t>
            </w:r>
          </w:p>
        </w:tc>
        <w:tc>
          <w:tcPr/>
          <w:p>
            <w:pPr>
              <w:pStyle w:val="Compact"/>
            </w:pPr>
            <w:r>
              <w:t xml:space="preserve">tabzhw</w:t>
            </w:r>
          </w:p>
        </w:tc>
        <w:tc>
          <w:tcPr/>
          <w:p>
            <w:pPr>
              <w:pStyle w:val="Compact"/>
            </w:pPr>
            <w:r>
              <w:t xml:space="preserve">Заголовок для табличной формы TABZW (Задача</w:t>
            </w:r>
            <w:r>
              <w:t xml:space="preserve"> </w:t>
            </w:r>
            <w:r>
              <w:t xml:space="preserve">“Заказ книг”</w:t>
            </w:r>
            <w:r>
              <w:t xml:space="preserve">)</w:t>
            </w:r>
          </w:p>
        </w:tc>
      </w:tr>
      <w:tr>
        <w:tc>
          <w:tcPr/>
          <w:p>
            <w:pPr>
              <w:pStyle w:val="Compact"/>
            </w:pPr>
            <w:r>
              <w:t xml:space="preserve">77</w:t>
            </w:r>
          </w:p>
        </w:tc>
        <w:tc>
          <w:tcPr/>
          <w:p>
            <w:pPr>
              <w:pStyle w:val="Compact"/>
            </w:pPr>
            <w:r>
              <w:t xml:space="preserve">tabzw</w:t>
            </w:r>
          </w:p>
        </w:tc>
        <w:tc>
          <w:tcPr/>
          <w:p>
            <w:pPr>
              <w:pStyle w:val="Compact"/>
            </w:pPr>
            <w:r>
              <w:t xml:space="preserve">Для табличной формы TABZW (Задача</w:t>
            </w:r>
            <w:r>
              <w:t xml:space="preserve"> </w:t>
            </w:r>
            <w:r>
              <w:t xml:space="preserve">“Заказ книг”</w:t>
            </w:r>
            <w:r>
              <w:t xml:space="preserve">)</w:t>
            </w:r>
          </w:p>
        </w:tc>
      </w:tr>
      <w:tr>
        <w:tc>
          <w:tcPr/>
          <w:p>
            <w:pPr>
              <w:pStyle w:val="Compact"/>
            </w:pPr>
            <w:r>
              <w:t xml:space="preserve">78</w:t>
            </w:r>
          </w:p>
        </w:tc>
        <w:tc>
          <w:tcPr/>
          <w:p>
            <w:pPr>
              <w:pStyle w:val="Compact"/>
            </w:pPr>
            <w:r>
              <w:t xml:space="preserve">tks2hw</w:t>
            </w:r>
          </w:p>
        </w:tc>
        <w:tc>
          <w:tcPr/>
          <w:p>
            <w:pPr>
              <w:pStyle w:val="Compact"/>
            </w:pPr>
            <w:r>
              <w:t xml:space="preserve">Заголовок для табличной формы TKS2W (Задача</w:t>
            </w:r>
            <w:r>
              <w:t xml:space="preserve"> </w:t>
            </w:r>
            <w:r>
              <w:t xml:space="preserve">“Выбытие книг”</w:t>
            </w:r>
            <w:r>
              <w:t xml:space="preserve">)</w:t>
            </w:r>
          </w:p>
        </w:tc>
      </w:tr>
      <w:tr>
        <w:tc>
          <w:tcPr/>
          <w:p>
            <w:pPr>
              <w:pStyle w:val="Compact"/>
            </w:pPr>
            <w:r>
              <w:t xml:space="preserve">79</w:t>
            </w:r>
          </w:p>
        </w:tc>
        <w:tc>
          <w:tcPr/>
          <w:p>
            <w:pPr>
              <w:pStyle w:val="Compact"/>
            </w:pPr>
            <w:r>
              <w:t xml:space="preserve">tks2w</w:t>
            </w:r>
          </w:p>
        </w:tc>
        <w:tc>
          <w:tcPr/>
          <w:p>
            <w:pPr>
              <w:pStyle w:val="Compact"/>
            </w:pPr>
            <w:r>
              <w:t xml:space="preserve">Для табличной формы TKS2W (Задача</w:t>
            </w:r>
            <w:r>
              <w:t xml:space="preserve"> </w:t>
            </w:r>
            <w:r>
              <w:t xml:space="preserve">“Выбытие книг”</w:t>
            </w:r>
            <w:r>
              <w:t xml:space="preserve">)</w:t>
            </w:r>
          </w:p>
        </w:tc>
      </w:tr>
      <w:tr>
        <w:tc>
          <w:tcPr/>
          <w:p>
            <w:pPr>
              <w:pStyle w:val="Compact"/>
            </w:pPr>
            <w:r>
              <w:t xml:space="preserve">80</w:t>
            </w:r>
          </w:p>
        </w:tc>
        <w:tc>
          <w:tcPr/>
          <w:p>
            <w:pPr>
              <w:pStyle w:val="Compact"/>
            </w:pPr>
            <w:r>
              <w:t xml:space="preserve">tks2phw</w:t>
            </w:r>
          </w:p>
        </w:tc>
        <w:tc>
          <w:tcPr/>
          <w:p>
            <w:pPr>
              <w:pStyle w:val="Compact"/>
            </w:pPr>
            <w:r>
              <w:t xml:space="preserve">Заголовок для табличной формы TKS2PW (Задача</w:t>
            </w:r>
            <w:r>
              <w:t xml:space="preserve"> </w:t>
            </w:r>
            <w:r>
              <w:t xml:space="preserve">“Выбытие книг”</w:t>
            </w:r>
            <w:r>
              <w:t xml:space="preserve">)</w:t>
            </w:r>
          </w:p>
        </w:tc>
      </w:tr>
      <w:tr>
        <w:tc>
          <w:tcPr/>
          <w:p>
            <w:pPr>
              <w:pStyle w:val="Compact"/>
            </w:pPr>
            <w:r>
              <w:t xml:space="preserve">81</w:t>
            </w:r>
          </w:p>
        </w:tc>
        <w:tc>
          <w:tcPr/>
          <w:p>
            <w:pPr>
              <w:pStyle w:val="Compact"/>
            </w:pPr>
            <w:r>
              <w:t xml:space="preserve">tks2pw</w:t>
            </w:r>
          </w:p>
        </w:tc>
        <w:tc>
          <w:tcPr/>
          <w:p>
            <w:pPr>
              <w:pStyle w:val="Compact"/>
            </w:pPr>
            <w:r>
              <w:t xml:space="preserve">Для табличной формы TKS2PW (Задача</w:t>
            </w:r>
            <w:r>
              <w:t xml:space="preserve"> </w:t>
            </w:r>
            <w:r>
              <w:t xml:space="preserve">“Выбытие книг”</w:t>
            </w:r>
            <w:r>
              <w:t xml:space="preserve">)</w:t>
            </w:r>
          </w:p>
        </w:tc>
      </w:tr>
      <w:tr>
        <w:tc>
          <w:tcPr/>
          <w:p>
            <w:pPr>
              <w:pStyle w:val="Compact"/>
            </w:pPr>
            <w:r>
              <w:t xml:space="preserve">82</w:t>
            </w:r>
          </w:p>
        </w:tc>
        <w:tc>
          <w:tcPr/>
          <w:p>
            <w:pPr>
              <w:pStyle w:val="Compact"/>
            </w:pPr>
            <w:r>
              <w:t xml:space="preserve">tksuhw</w:t>
            </w:r>
          </w:p>
        </w:tc>
        <w:tc>
          <w:tcPr/>
          <w:p>
            <w:pPr>
              <w:pStyle w:val="Compact"/>
            </w:pPr>
            <w:r>
              <w:t xml:space="preserve">Заголовок для табличной формы TKSUW (Задача</w:t>
            </w:r>
            <w:r>
              <w:t xml:space="preserve"> </w:t>
            </w:r>
            <w:r>
              <w:t xml:space="preserve">“Поступление книг”</w:t>
            </w:r>
            <w:r>
              <w:t xml:space="preserve">)</w:t>
            </w:r>
          </w:p>
        </w:tc>
      </w:tr>
      <w:tr>
        <w:tc>
          <w:tcPr/>
          <w:p>
            <w:pPr>
              <w:pStyle w:val="Compact"/>
            </w:pPr>
            <w:r>
              <w:t xml:space="preserve">83</w:t>
            </w:r>
          </w:p>
        </w:tc>
        <w:tc>
          <w:tcPr/>
          <w:p>
            <w:pPr>
              <w:pStyle w:val="Compact"/>
            </w:pPr>
            <w:r>
              <w:t xml:space="preserve">tksuw</w:t>
            </w:r>
          </w:p>
        </w:tc>
        <w:tc>
          <w:tcPr/>
          <w:p>
            <w:pPr>
              <w:pStyle w:val="Compact"/>
            </w:pPr>
            <w:r>
              <w:t xml:space="preserve">Для табличной формы TKSUW (Задача</w:t>
            </w:r>
            <w:r>
              <w:t xml:space="preserve"> </w:t>
            </w:r>
            <w:r>
              <w:t xml:space="preserve">“Поступление книг”</w:t>
            </w:r>
            <w:r>
              <w:t xml:space="preserve">)</w:t>
            </w:r>
          </w:p>
        </w:tc>
      </w:tr>
      <w:tr>
        <w:tc>
          <w:tcPr/>
          <w:p>
            <w:pPr>
              <w:pStyle w:val="Compact"/>
            </w:pPr>
            <w:r>
              <w:t xml:space="preserve">84</w:t>
            </w:r>
          </w:p>
        </w:tc>
        <w:tc>
          <w:tcPr/>
          <w:p>
            <w:pPr>
              <w:pStyle w:val="Compact"/>
            </w:pPr>
            <w:r>
              <w:t xml:space="preserve">tksumhw</w:t>
            </w:r>
          </w:p>
        </w:tc>
        <w:tc>
          <w:tcPr/>
          <w:p>
            <w:pPr>
              <w:pStyle w:val="Compact"/>
            </w:pPr>
            <w:r>
              <w:t xml:space="preserve">Заголовок для табличной формы TKSUMW (Задача</w:t>
            </w:r>
            <w:r>
              <w:t xml:space="preserve"> </w:t>
            </w:r>
            <w:r>
              <w:t xml:space="preserve">“Поступление книг”</w:t>
            </w:r>
            <w:r>
              <w:t xml:space="preserve">)</w:t>
            </w:r>
          </w:p>
        </w:tc>
      </w:tr>
      <w:tr>
        <w:tc>
          <w:tcPr/>
          <w:p>
            <w:pPr>
              <w:pStyle w:val="Compact"/>
            </w:pPr>
            <w:r>
              <w:t xml:space="preserve">85</w:t>
            </w:r>
          </w:p>
        </w:tc>
        <w:tc>
          <w:tcPr/>
          <w:p>
            <w:pPr>
              <w:pStyle w:val="Compact"/>
            </w:pPr>
            <w:r>
              <w:t xml:space="preserve">tksumw</w:t>
            </w:r>
          </w:p>
        </w:tc>
        <w:tc>
          <w:tcPr/>
          <w:p>
            <w:pPr>
              <w:pStyle w:val="Compact"/>
            </w:pPr>
            <w:r>
              <w:t xml:space="preserve">Для табличной формы TKSUMW (Задача</w:t>
            </w:r>
            <w:r>
              <w:t xml:space="preserve"> </w:t>
            </w:r>
            <w:r>
              <w:t xml:space="preserve">“Поступление книг”</w:t>
            </w:r>
            <w:r>
              <w:t xml:space="preserve">)</w:t>
            </w:r>
          </w:p>
        </w:tc>
      </w:tr>
      <w:tr>
        <w:tc>
          <w:tcPr/>
          <w:p>
            <w:pPr>
              <w:pStyle w:val="Compact"/>
            </w:pPr>
            <w:r>
              <w:t xml:space="preserve">86</w:t>
            </w:r>
          </w:p>
        </w:tc>
        <w:tc>
          <w:tcPr/>
          <w:p>
            <w:pPr>
              <w:pStyle w:val="Compact"/>
            </w:pPr>
            <w:r>
              <w:t xml:space="preserve">tksuphw</w:t>
            </w:r>
          </w:p>
        </w:tc>
        <w:tc>
          <w:tcPr/>
          <w:p>
            <w:pPr>
              <w:pStyle w:val="Compact"/>
            </w:pPr>
            <w:r>
              <w:t xml:space="preserve">Заголовок для табличной формы TKSUPW (Задача</w:t>
            </w:r>
            <w:r>
              <w:t xml:space="preserve"> </w:t>
            </w:r>
            <w:r>
              <w:t xml:space="preserve">“Поступление книг”</w:t>
            </w:r>
            <w:r>
              <w:t xml:space="preserve">)</w:t>
            </w:r>
          </w:p>
        </w:tc>
      </w:tr>
      <w:tr>
        <w:tc>
          <w:tcPr/>
          <w:p>
            <w:pPr>
              <w:pStyle w:val="Compact"/>
            </w:pPr>
            <w:r>
              <w:t xml:space="preserve">87</w:t>
            </w:r>
          </w:p>
        </w:tc>
        <w:tc>
          <w:tcPr/>
          <w:p>
            <w:pPr>
              <w:pStyle w:val="Compact"/>
            </w:pPr>
            <w:r>
              <w:t xml:space="preserve">tksupw</w:t>
            </w:r>
          </w:p>
        </w:tc>
        <w:tc>
          <w:tcPr/>
          <w:p>
            <w:pPr>
              <w:pStyle w:val="Compact"/>
            </w:pPr>
            <w:r>
              <w:t xml:space="preserve">Для табличной формы TKSUPW (Задача</w:t>
            </w:r>
            <w:r>
              <w:t xml:space="preserve"> </w:t>
            </w:r>
            <w:r>
              <w:t xml:space="preserve">“Поступление книг”</w:t>
            </w:r>
            <w:r>
              <w:t xml:space="preserve">)</w:t>
            </w:r>
          </w:p>
        </w:tc>
      </w:tr>
      <w:tr>
        <w:tc>
          <w:tcPr/>
          <w:p>
            <w:pPr>
              <w:pStyle w:val="Compact"/>
            </w:pPr>
            <w:r>
              <w:t xml:space="preserve">88</w:t>
            </w:r>
          </w:p>
        </w:tc>
        <w:tc>
          <w:tcPr/>
          <w:p>
            <w:pPr>
              <w:pStyle w:val="Compact"/>
            </w:pPr>
            <w:r>
              <w:t xml:space="preserve">tpnzhw</w:t>
            </w:r>
          </w:p>
        </w:tc>
        <w:tc>
          <w:tcPr/>
          <w:p>
            <w:pPr>
              <w:pStyle w:val="Compact"/>
            </w:pPr>
            <w:r>
              <w:t xml:space="preserve">Заголовок для табличной формы TPNZW (Задача</w:t>
            </w:r>
            <w:r>
              <w:t xml:space="preserve"> </w:t>
            </w:r>
            <w:r>
              <w:t xml:space="preserve">“Заказ книг”</w:t>
            </w:r>
            <w:r>
              <w:t xml:space="preserve">)</w:t>
            </w:r>
          </w:p>
        </w:tc>
      </w:tr>
      <w:tr>
        <w:tc>
          <w:tcPr/>
          <w:p>
            <w:pPr>
              <w:pStyle w:val="Compact"/>
            </w:pPr>
            <w:r>
              <w:t xml:space="preserve">89</w:t>
            </w:r>
          </w:p>
        </w:tc>
        <w:tc>
          <w:tcPr/>
          <w:p>
            <w:pPr>
              <w:pStyle w:val="Compact"/>
            </w:pPr>
            <w:r>
              <w:t xml:space="preserve">tpnzw</w:t>
            </w:r>
          </w:p>
        </w:tc>
        <w:tc>
          <w:tcPr/>
          <w:p>
            <w:pPr>
              <w:pStyle w:val="Compact"/>
            </w:pPr>
            <w:r>
              <w:t xml:space="preserve">Для табличной формы TPNZW (Задача</w:t>
            </w:r>
            <w:r>
              <w:t xml:space="preserve"> </w:t>
            </w:r>
            <w:r>
              <w:t xml:space="preserve">“Заказ книг”</w:t>
            </w:r>
            <w:r>
              <w:t xml:space="preserve">)</w:t>
            </w:r>
          </w:p>
        </w:tc>
      </w:tr>
      <w:tr>
        <w:tc>
          <w:tcPr/>
          <w:p>
            <w:pPr>
              <w:pStyle w:val="Compact"/>
            </w:pPr>
            <w:r>
              <w:t xml:space="preserve">90</w:t>
            </w:r>
          </w:p>
        </w:tc>
        <w:tc>
          <w:tcPr/>
          <w:p>
            <w:pPr>
              <w:pStyle w:val="Compact"/>
            </w:pPr>
            <w:r>
              <w:t xml:space="preserve">tsu2ihw</w:t>
            </w:r>
          </w:p>
        </w:tc>
        <w:tc>
          <w:tcPr/>
          <w:p>
            <w:pPr>
              <w:pStyle w:val="Compact"/>
            </w:pPr>
            <w:r>
              <w:t xml:space="preserve">Заголовок для табличной формы TSU2IW (Задача</w:t>
            </w:r>
            <w:r>
              <w:t xml:space="preserve"> </w:t>
            </w:r>
            <w:r>
              <w:t xml:space="preserve">“Поступление книг”</w:t>
            </w:r>
            <w:r>
              <w:t xml:space="preserve">)</w:t>
            </w:r>
          </w:p>
        </w:tc>
      </w:tr>
      <w:tr>
        <w:tc>
          <w:tcPr/>
          <w:p>
            <w:pPr>
              <w:pStyle w:val="Compact"/>
            </w:pPr>
            <w:r>
              <w:t xml:space="preserve">91</w:t>
            </w:r>
          </w:p>
        </w:tc>
        <w:tc>
          <w:tcPr/>
          <w:p>
            <w:pPr>
              <w:pStyle w:val="Compact"/>
            </w:pPr>
            <w:r>
              <w:t xml:space="preserve">tsu2iw</w:t>
            </w:r>
          </w:p>
        </w:tc>
        <w:tc>
          <w:tcPr/>
          <w:p>
            <w:pPr>
              <w:pStyle w:val="Compact"/>
            </w:pPr>
            <w:r>
              <w:t xml:space="preserve">Для табличной формы TSU2IW (Задача</w:t>
            </w:r>
            <w:r>
              <w:t xml:space="preserve"> </w:t>
            </w:r>
            <w:r>
              <w:t xml:space="preserve">“Поступление книг”</w:t>
            </w:r>
            <w:r>
              <w:t xml:space="preserve">)</w:t>
            </w:r>
          </w:p>
        </w:tc>
      </w:tr>
      <w:tr>
        <w:tc>
          <w:tcPr/>
          <w:p>
            <w:pPr>
              <w:pStyle w:val="Compact"/>
            </w:pPr>
            <w:r>
              <w:t xml:space="preserve">92</w:t>
            </w:r>
          </w:p>
        </w:tc>
        <w:tc>
          <w:tcPr/>
          <w:p>
            <w:pPr>
              <w:pStyle w:val="Compact"/>
            </w:pPr>
            <w:r>
              <w:t xml:space="preserve">tsu2mw</w:t>
            </w:r>
          </w:p>
        </w:tc>
        <w:tc>
          <w:tcPr/>
          <w:p>
            <w:pPr>
              <w:pStyle w:val="Compact"/>
            </w:pPr>
            <w:r>
              <w:t xml:space="preserve">Заголовок для табличной формы TSU2MW (Задача</w:t>
            </w:r>
            <w:r>
              <w:t xml:space="preserve"> </w:t>
            </w:r>
            <w:r>
              <w:t xml:space="preserve">“Поступление книг”</w:t>
            </w:r>
            <w:r>
              <w:t xml:space="preserve">)</w:t>
            </w:r>
          </w:p>
        </w:tc>
      </w:tr>
      <w:tr>
        <w:tc>
          <w:tcPr/>
          <w:p>
            <w:pPr>
              <w:pStyle w:val="Compact"/>
            </w:pPr>
            <w:r>
              <w:t xml:space="preserve">93</w:t>
            </w:r>
          </w:p>
        </w:tc>
        <w:tc>
          <w:tcPr/>
          <w:p>
            <w:pPr>
              <w:pStyle w:val="Compact"/>
            </w:pPr>
            <w:r>
              <w:t xml:space="preserve">tsu2m</w:t>
            </w:r>
          </w:p>
        </w:tc>
        <w:tc>
          <w:tcPr/>
          <w:p>
            <w:pPr>
              <w:pStyle w:val="Compact"/>
            </w:pPr>
            <w:r>
              <w:t xml:space="preserve">Для табличной формы TSU2MW (Задача</w:t>
            </w:r>
            <w:r>
              <w:t xml:space="preserve"> </w:t>
            </w:r>
            <w:r>
              <w:t xml:space="preserve">“Поступление книг”</w:t>
            </w:r>
            <w:r>
              <w:t xml:space="preserve">)</w:t>
            </w:r>
          </w:p>
        </w:tc>
      </w:tr>
      <w:tr>
        <w:tc>
          <w:tcPr/>
          <w:p>
            <w:pPr>
              <w:pStyle w:val="Compact"/>
            </w:pPr>
            <w:r>
              <w:t xml:space="preserve">94</w:t>
            </w:r>
          </w:p>
        </w:tc>
        <w:tc>
          <w:tcPr/>
          <w:p>
            <w:pPr>
              <w:pStyle w:val="Compact"/>
            </w:pPr>
            <w:r>
              <w:t xml:space="preserve">zak1w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1-го заказа</w:t>
            </w:r>
          </w:p>
        </w:tc>
      </w:tr>
      <w:tr>
        <w:tc>
          <w:tcPr/>
          <w:p>
            <w:pPr>
              <w:pStyle w:val="Compact"/>
            </w:pPr>
            <w:r>
              <w:t xml:space="preserve">95</w:t>
            </w:r>
          </w:p>
        </w:tc>
        <w:tc>
          <w:tcPr/>
          <w:p>
            <w:pPr>
              <w:pStyle w:val="Compact"/>
            </w:pPr>
            <w:r>
              <w:t xml:space="preserve">zak2w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2-го заказа</w:t>
            </w:r>
          </w:p>
        </w:tc>
      </w:tr>
      <w:tr>
        <w:tc>
          <w:tcPr/>
          <w:p>
            <w:pPr>
              <w:pStyle w:val="Compact"/>
            </w:pPr>
            <w:r>
              <w:t xml:space="preserve">96</w:t>
            </w:r>
          </w:p>
        </w:tc>
        <w:tc>
          <w:tcPr/>
          <w:p>
            <w:pPr>
              <w:pStyle w:val="Compact"/>
            </w:pPr>
            <w:r>
              <w:t xml:space="preserve">zak3w</w:t>
            </w:r>
          </w:p>
        </w:tc>
        <w:tc>
          <w:tcPr/>
          <w:p>
            <w:pPr>
              <w:pStyle w:val="Compact"/>
            </w:pPr>
            <w:r>
              <w:t xml:space="preserve">Просмотр документа</w:t>
            </w:r>
            <w:r>
              <w:t xml:space="preserve"> </w:t>
            </w:r>
            <w:r>
              <w:t xml:space="preserve">“Книга”</w:t>
            </w:r>
            <w:r>
              <w:t xml:space="preserve"> </w:t>
            </w:r>
            <w:r>
              <w:t xml:space="preserve">в форме</w:t>
            </w:r>
            <w:r>
              <w:t xml:space="preserve"> </w:t>
            </w:r>
            <w:r>
              <w:t xml:space="preserve">“Адрес и карточка-заказ”</w:t>
            </w:r>
            <w:r>
              <w:t xml:space="preserve"> </w:t>
            </w:r>
            <w:r>
              <w:t xml:space="preserve">– для 3-го заказа</w:t>
            </w:r>
          </w:p>
        </w:tc>
      </w:tr>
      <w:tr>
        <w:tc>
          <w:tcPr/>
          <w:p>
            <w:pPr>
              <w:pStyle w:val="Compact"/>
            </w:pPr>
            <w:r>
              <w:t xml:space="preserve">97</w:t>
            </w:r>
          </w:p>
        </w:tc>
        <w:tc>
          <w:tcPr/>
          <w:p>
            <w:pPr>
              <w:pStyle w:val="Compact"/>
            </w:pPr>
            <w:r>
              <w:t xml:space="preserve">zkw</w:t>
            </w:r>
          </w:p>
        </w:tc>
        <w:tc>
          <w:tcPr/>
          <w:p>
            <w:pPr>
              <w:pStyle w:val="Compact"/>
            </w:pPr>
            <w:r>
              <w:t xml:space="preserve">Просмотр документа</w:t>
            </w:r>
            <w:r>
              <w:t xml:space="preserve"> </w:t>
            </w:r>
            <w:r>
              <w:t xml:space="preserve">“Книга”</w:t>
            </w:r>
            <w:r>
              <w:t xml:space="preserve"> </w:t>
            </w:r>
            <w:r>
              <w:t xml:space="preserve">в полном виде</w:t>
            </w:r>
          </w:p>
        </w:tc>
      </w:tr>
    </w:tbl>
    <w:p>
      <w:pPr>
        <w:pStyle w:val="BodyText"/>
      </w:pPr>
      <w:r>
        <w:t xml:space="preserve">Список и назначение основных форматов для БД читателей (RDR) приведены в таблице ниже.</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п/п</w:t>
            </w:r>
          </w:p>
        </w:tc>
        <w:tc>
          <w:tcPr/>
          <w:p>
            <w:pPr>
              <w:pStyle w:val="Compact"/>
            </w:pPr>
            <w:r>
              <w:t xml:space="preserve">Имя</w:t>
            </w:r>
          </w:p>
        </w:tc>
        <w:tc>
          <w:tcPr/>
          <w:p>
            <w:pPr>
              <w:pStyle w:val="Compact"/>
            </w:pPr>
            <w:r>
              <w:t xml:space="preserve">Назначение</w:t>
            </w:r>
          </w:p>
        </w:tc>
      </w:tr>
      <w:tr>
        <w:tc>
          <w:tcPr/>
          <w:p>
            <w:pPr>
              <w:pStyle w:val="Compact"/>
            </w:pPr>
            <w:r>
              <w:t xml:space="preserve">1</w:t>
            </w:r>
          </w:p>
        </w:tc>
        <w:tc>
          <w:tcPr/>
          <w:p>
            <w:pPr>
              <w:pStyle w:val="Compact"/>
            </w:pPr>
            <w:r>
              <w:t xml:space="preserve">!21</w:t>
            </w:r>
          </w:p>
        </w:tc>
        <w:tc>
          <w:tcPr/>
          <w:p>
            <w:pPr>
              <w:pStyle w:val="Compact"/>
            </w:pPr>
            <w:r>
              <w:t xml:space="preserve">ФЛК поля 21 – Год рождения</w:t>
            </w:r>
          </w:p>
        </w:tc>
      </w:tr>
      <w:tr>
        <w:tc>
          <w:tcPr/>
          <w:p>
            <w:pPr>
              <w:pStyle w:val="Compact"/>
            </w:pPr>
            <w:r>
              <w:t xml:space="preserve">2</w:t>
            </w:r>
          </w:p>
        </w:tc>
        <w:tc>
          <w:tcPr/>
          <w:p>
            <w:pPr>
              <w:pStyle w:val="Compact"/>
            </w:pPr>
            <w:r>
              <w:t xml:space="preserve">!23</w:t>
            </w:r>
          </w:p>
        </w:tc>
        <w:tc>
          <w:tcPr/>
          <w:p>
            <w:pPr>
              <w:pStyle w:val="Compact"/>
            </w:pPr>
            <w:r>
              <w:t xml:space="preserve">ФЛК поля 23 – Пол</w:t>
            </w:r>
          </w:p>
        </w:tc>
      </w:tr>
      <w:tr>
        <w:tc>
          <w:tcPr/>
          <w:p>
            <w:pPr>
              <w:pStyle w:val="Compact"/>
            </w:pPr>
            <w:r>
              <w:t xml:space="preserve">3</w:t>
            </w:r>
          </w:p>
        </w:tc>
        <w:tc>
          <w:tcPr/>
          <w:p>
            <w:pPr>
              <w:pStyle w:val="Compact"/>
            </w:pPr>
            <w:r>
              <w:t xml:space="preserve">!30</w:t>
            </w:r>
          </w:p>
        </w:tc>
        <w:tc>
          <w:tcPr/>
          <w:p>
            <w:pPr>
              <w:pStyle w:val="Compact"/>
            </w:pPr>
            <w:r>
              <w:t xml:space="preserve">ФЛК поля 30 – Идентификатор читателя</w:t>
            </w:r>
          </w:p>
        </w:tc>
      </w:tr>
      <w:tr>
        <w:tc>
          <w:tcPr/>
          <w:p>
            <w:pPr>
              <w:pStyle w:val="Compact"/>
            </w:pPr>
            <w:r>
              <w:t xml:space="preserve">4</w:t>
            </w:r>
          </w:p>
        </w:tc>
        <w:tc>
          <w:tcPr/>
          <w:p>
            <w:pPr>
              <w:pStyle w:val="Compact"/>
            </w:pPr>
            <w:r>
              <w:t xml:space="preserve">!f8ret</w:t>
            </w:r>
          </w:p>
        </w:tc>
        <w:tc>
          <w:tcPr/>
          <w:p>
            <w:pPr>
              <w:pStyle w:val="Compact"/>
            </w:pPr>
          </w:p>
        </w:tc>
      </w:tr>
      <w:tr>
        <w:tc>
          <w:tcPr/>
          <w:p>
            <w:pPr>
              <w:pStyle w:val="Compact"/>
            </w:pPr>
            <w:r>
              <w:t xml:space="preserve">5</w:t>
            </w:r>
          </w:p>
        </w:tc>
        <w:tc>
          <w:tcPr/>
          <w:p>
            <w:pPr>
              <w:pStyle w:val="Compact"/>
            </w:pPr>
            <w:r>
              <w:t xml:space="preserve">!rful0</w:t>
            </w:r>
          </w:p>
        </w:tc>
        <w:tc>
          <w:tcPr/>
          <w:p>
            <w:pPr>
              <w:pStyle w:val="Compact"/>
            </w:pPr>
          </w:p>
        </w:tc>
      </w:tr>
      <w:tr>
        <w:tc>
          <w:tcPr/>
          <w:p>
            <w:pPr>
              <w:pStyle w:val="Compact"/>
            </w:pPr>
            <w:r>
              <w:t xml:space="preserve">6</w:t>
            </w:r>
          </w:p>
        </w:tc>
        <w:tc>
          <w:tcPr/>
          <w:p>
            <w:pPr>
              <w:pStyle w:val="Compact"/>
            </w:pPr>
            <w:r>
              <w:t xml:space="preserve">!rfull</w:t>
            </w:r>
          </w:p>
        </w:tc>
        <w:tc>
          <w:tcPr/>
          <w:p>
            <w:pPr>
              <w:pStyle w:val="Compact"/>
            </w:pPr>
          </w:p>
        </w:tc>
      </w:tr>
      <w:tr>
        <w:tc>
          <w:tcPr/>
          <w:p>
            <w:pPr>
              <w:pStyle w:val="Compact"/>
            </w:pPr>
            <w:r>
              <w:t xml:space="preserve">7</w:t>
            </w:r>
          </w:p>
        </w:tc>
        <w:tc>
          <w:tcPr/>
          <w:p>
            <w:pPr>
              <w:pStyle w:val="Compact"/>
            </w:pPr>
            <w:r>
              <w:t xml:space="preserve">!rline</w:t>
            </w:r>
          </w:p>
        </w:tc>
        <w:tc>
          <w:tcPr/>
          <w:p>
            <w:pPr>
              <w:pStyle w:val="Compact"/>
            </w:pPr>
          </w:p>
        </w:tc>
      </w:tr>
      <w:tr>
        <w:tc>
          <w:tcPr/>
          <w:p>
            <w:pPr>
              <w:pStyle w:val="Compact"/>
            </w:pPr>
            <w:r>
              <w:t xml:space="preserve">8</w:t>
            </w:r>
          </w:p>
        </w:tc>
        <w:tc>
          <w:tcPr/>
          <w:p>
            <w:pPr>
              <w:pStyle w:val="Compact"/>
            </w:pPr>
            <w:r>
              <w:t xml:space="preserve">brief</w:t>
            </w:r>
          </w:p>
        </w:tc>
        <w:tc>
          <w:tcPr/>
          <w:p>
            <w:pPr>
              <w:pStyle w:val="Compact"/>
            </w:pPr>
            <w:r>
              <w:t xml:space="preserve">Просмотр документа</w:t>
            </w:r>
            <w:r>
              <w:t xml:space="preserve"> </w:t>
            </w:r>
            <w:r>
              <w:t xml:space="preserve">“Карточка читателя”</w:t>
            </w:r>
            <w:r>
              <w:t xml:space="preserve"> </w:t>
            </w:r>
            <w:r>
              <w:t xml:space="preserve">в кратком виде</w:t>
            </w:r>
          </w:p>
        </w:tc>
      </w:tr>
      <w:tr>
        <w:tc>
          <w:tcPr/>
          <w:p>
            <w:pPr>
              <w:pStyle w:val="Compact"/>
            </w:pPr>
            <w:r>
              <w:t xml:space="preserve">9</w:t>
            </w:r>
          </w:p>
        </w:tc>
        <w:tc>
          <w:tcPr/>
          <w:p>
            <w:pPr>
              <w:pStyle w:val="Compact"/>
            </w:pPr>
            <w:r>
              <w:t xml:space="preserve">dbnflc</w:t>
            </w:r>
          </w:p>
        </w:tc>
        <w:tc>
          <w:tcPr/>
          <w:p>
            <w:pPr>
              <w:pStyle w:val="Compact"/>
            </w:pPr>
            <w:r>
              <w:t xml:space="preserve">ФЛК при сохранении документа</w:t>
            </w:r>
          </w:p>
        </w:tc>
      </w:tr>
      <w:tr>
        <w:tc>
          <w:tcPr/>
          <w:p>
            <w:pPr>
              <w:pStyle w:val="Compact"/>
            </w:pPr>
            <w:r>
              <w:t xml:space="preserve">10</w:t>
            </w:r>
          </w:p>
        </w:tc>
        <w:tc>
          <w:tcPr/>
          <w:p>
            <w:pPr>
              <w:pStyle w:val="Compact"/>
            </w:pPr>
            <w:r>
              <w:t xml:space="preserve">rdr0w</w:t>
            </w:r>
          </w:p>
        </w:tc>
        <w:tc>
          <w:tcPr/>
          <w:p>
            <w:pPr>
              <w:pStyle w:val="Compact"/>
            </w:pPr>
          </w:p>
        </w:tc>
      </w:tr>
      <w:tr>
        <w:tc>
          <w:tcPr/>
          <w:p>
            <w:pPr>
              <w:pStyle w:val="Compact"/>
            </w:pPr>
            <w:r>
              <w:t xml:space="preserve">11</w:t>
            </w:r>
          </w:p>
        </w:tc>
        <w:tc>
          <w:tcPr/>
          <w:p>
            <w:pPr>
              <w:pStyle w:val="Compact"/>
            </w:pPr>
            <w:r>
              <w:t xml:space="preserve">rdr1w</w:t>
            </w:r>
          </w:p>
        </w:tc>
        <w:tc>
          <w:tcPr/>
          <w:p>
            <w:pPr>
              <w:pStyle w:val="Compact"/>
            </w:pPr>
          </w:p>
        </w:tc>
      </w:tr>
      <w:tr>
        <w:tc>
          <w:tcPr/>
          <w:p>
            <w:pPr>
              <w:pStyle w:val="Compact"/>
            </w:pPr>
            <w:r>
              <w:t xml:space="preserve">12</w:t>
            </w:r>
          </w:p>
        </w:tc>
        <w:tc>
          <w:tcPr/>
          <w:p>
            <w:pPr>
              <w:pStyle w:val="Compact"/>
            </w:pPr>
            <w:r>
              <w:t xml:space="preserve">Rdrw</w:t>
            </w:r>
          </w:p>
        </w:tc>
        <w:tc>
          <w:tcPr/>
          <w:p>
            <w:pPr>
              <w:pStyle w:val="Compact"/>
            </w:pPr>
            <w:r>
              <w:t xml:space="preserve">Просмотр документа</w:t>
            </w:r>
            <w:r>
              <w:t xml:space="preserve"> </w:t>
            </w:r>
            <w:r>
              <w:t xml:space="preserve">“Карточка читателя”</w:t>
            </w:r>
            <w:r>
              <w:t xml:space="preserve"> </w:t>
            </w:r>
            <w:r>
              <w:t xml:space="preserve">в полном виде</w:t>
            </w:r>
          </w:p>
        </w:tc>
      </w:tr>
    </w:tbl>
    <w:p>
      <w:pPr>
        <w:pStyle w:val="BodyText"/>
      </w:pPr>
      <w:r>
        <w:t xml:space="preserve">Для БД предлагается такое понятие как ОПТИМИЗИРОВАННЫЙ формат. Оптимизированный формат – это механизм автоматического переключения форматов показа документов в зависимости от их вида. Переключение производится в соответствии с содержанием специального файла, имя которого определяется параметром PFTOPT. Данный файл оптимизации является текстовым и имеет следующую структуру:</w:t>
      </w:r>
    </w:p>
    <w:p>
      <w:pPr>
        <w:pStyle w:val="SourceCode"/>
      </w:pPr>
      <w:r>
        <w:rPr>
          <w:rStyle w:val="NormalTok"/>
        </w:rPr>
        <w:t xml:space="preserve">&lt;метка&gt;|&lt;формат&gt;|@&lt;имя_формата&gt;</w:t>
      </w:r>
      <w:r>
        <w:br/>
      </w:r>
      <w:r>
        <w:rPr>
          <w:rStyle w:val="NormalTok"/>
        </w:rPr>
        <w:t xml:space="preserve">&lt;длина&gt;</w:t>
      </w:r>
      <w:r>
        <w:br/>
      </w:r>
      <w:r>
        <w:rPr>
          <w:rStyle w:val="NormalTok"/>
        </w:rPr>
        <w:t xml:space="preserve">&lt;значение_1&gt; &lt;имя формата_1&gt;</w:t>
      </w:r>
      <w:r>
        <w:br/>
      </w:r>
      <w:r>
        <w:rPr>
          <w:rStyle w:val="NormalTok"/>
        </w:rPr>
        <w:t xml:space="preserve">&lt;значение_2&gt; &lt;имя формата_2&gt;</w:t>
      </w:r>
      <w:r>
        <w:br/>
      </w:r>
      <w:r>
        <w:rPr>
          <w:rStyle w:val="NormalTok"/>
        </w:rPr>
        <w:t xml:space="preserve">&lt;значение_3&gt; &lt;имя формата_3&gt;</w:t>
      </w:r>
      <w:r>
        <w:br/>
      </w:r>
      <w:r>
        <w:rPr>
          <w:rStyle w:val="NormalTok"/>
        </w:rPr>
        <w:t xml:space="preserve">...</w:t>
      </w:r>
      <w:r>
        <w:br/>
      </w:r>
      <w:r>
        <w:rPr>
          <w:rStyle w:val="NormalTok"/>
        </w:rPr>
        <w:t xml:space="preserve">*****</w:t>
      </w:r>
    </w:p>
    <w:p>
      <w:pPr>
        <w:pStyle w:val="FirstParagraph"/>
      </w:pPr>
      <w:r>
        <w:t xml:space="preserve">где:</w:t>
      </w:r>
      <w:r>
        <w:t xml:space="preserve"> </w:t>
      </w:r>
      <w:r>
        <w:t xml:space="preserve">* &lt;метка&gt;|&lt;формат&gt;|@&lt;имя_формата&gt; - ключ, который может задаваться тремя способами:</w:t>
      </w:r>
      <w:r>
        <w:t xml:space="preserve"> </w:t>
      </w:r>
      <w:r>
        <w:t xml:space="preserve">* &lt;метка&gt; - метка поля, значение которого определяет вид документа;</w:t>
      </w:r>
      <w:r>
        <w:t xml:space="preserve"> </w:t>
      </w:r>
      <w:r>
        <w:t xml:space="preserve">* &lt;формат&gt; - непосредственный формат, с помощью которого определяется значение для вида документа;</w:t>
      </w:r>
      <w:r>
        <w:t xml:space="preserve"> </w:t>
      </w:r>
      <w:r>
        <w:t xml:space="preserve">* @&lt;имя_формата&gt; - имя формата с предшествующим символом @, с помощью которого определяется значение для вида документа.</w:t>
      </w:r>
      <w:r>
        <w:t xml:space="preserve"> </w:t>
      </w:r>
      <w:r>
        <w:t xml:space="preserve">* &lt;длина&gt; - макс.длина значения для вида документа;</w:t>
      </w:r>
      <w:r>
        <w:t xml:space="preserve"> </w:t>
      </w:r>
      <w:r>
        <w:t xml:space="preserve">* &lt;значение_n&gt; &lt;имя формата_n&gt; - значение (вид документа) и соответствующий ему формат, разделенные символом пробела.</w:t>
      </w:r>
      <w:r>
        <w:t xml:space="preserve"> </w:t>
      </w:r>
      <w:r>
        <w:t xml:space="preserve">При этом в элементе &lt;значение_n&gt; могут содержаться символы маскирования «+» (означающие, что на соответствующем месте может быть любой символ).</w:t>
      </w:r>
    </w:p>
    <w:p>
      <w:pPr>
        <w:pStyle w:val="BodyText"/>
      </w:pPr>
      <w:r>
        <w:t xml:space="preserve">Для БД электронного каталога (IBIS) предлагаются два оптимизационных файла:</w:t>
      </w:r>
      <w:r>
        <w:t xml:space="preserve"> </w:t>
      </w:r>
      <w:r>
        <w:t xml:space="preserve">* PFTW.OPT – включает RTF-форматы;</w:t>
      </w:r>
      <w:r>
        <w:t xml:space="preserve"> </w:t>
      </w:r>
      <w:r>
        <w:t xml:space="preserve">* PFTW_H.OPT – включает HTML-форматы.</w:t>
      </w:r>
    </w:p>
    <w:p>
      <w:pPr>
        <w:pStyle w:val="BodyText"/>
      </w:pPr>
      <w:r>
        <w:t xml:space="preserve">В исходном состоянии системы в качестве оптимизированного определены HTML-форматы (т.е. PFTOPT=PFTW_H.OPT). Для перехода на RTF-форматы (в качестве оптимизированного) необходимо установить PFTOPT=PFTW.OPT.</w:t>
      </w:r>
    </w:p>
    <w:bookmarkEnd w:id="363"/>
    <w:bookmarkStart w:id="371" w:name="X17ade5962028c7bd421c4e57a74dc71c1dd1538"/>
    <w:p>
      <w:pPr>
        <w:pStyle w:val="Heading2"/>
      </w:pPr>
      <w:r>
        <w:t xml:space="preserve">Проверка изменений форматов при обновлении версии</w:t>
      </w:r>
    </w:p>
    <w:p>
      <w:pPr>
        <w:pStyle w:val="FirstParagraph"/>
      </w:pPr>
      <w:r>
        <w:t xml:space="preserve">При обновлении версии системы в поставке могут изменяться форматы баз данных: файлы просмотра, печати, ФЛК, списки оптимизированных форматов и связанные служебные файлы. Если в рабочей базе уже есть локальные изменения, такие файлы нельзя заменять автоматически без сравнения: вместе с исправлениями новой версии можно потерять библиотечные доработки.</w:t>
      </w:r>
    </w:p>
    <w:p>
      <w:pPr>
        <w:pStyle w:val="BodyText"/>
      </w:pPr>
      <w:r>
        <w:t xml:space="preserve">Проверку выполняют для тех баз, где поддерживаются собственные форматы или менялись поставочные файлы. В первую очередь проверяются форматы, которые используются в окнах поиска, просмотра и печати, а также оптимизированные HTML-форматы, выбираемые через</w:t>
      </w:r>
      <w:r>
        <w:t xml:space="preserve"> </w:t>
      </w:r>
      <w:r>
        <w:rPr>
          <w:rStyle w:val="VerbatimChar"/>
        </w:rPr>
        <w:t xml:space="preserve">PFTOPT</w:t>
      </w:r>
      <w:r>
        <w:t xml:space="preserve">.</w:t>
      </w:r>
    </w:p>
    <w:bookmarkStart w:id="364" w:name="что-проверить-перед-заменой"/>
    <w:p>
      <w:pPr>
        <w:pStyle w:val="Heading3"/>
      </w:pPr>
      <w:r>
        <w:t xml:space="preserve">1. Что проверить перед заменой</w:t>
      </w:r>
    </w:p>
    <w:p>
      <w:pPr>
        <w:pStyle w:val="FirstParagraph"/>
      </w:pPr>
      <w:r>
        <w:t xml:space="preserve">Перед обновлением сохраните текущий комплект файлов базы и сравните его с комплектом новой версии. Минимально нужно проверить:</w:t>
      </w:r>
    </w:p>
    <w:p>
      <w:pPr>
        <w:pStyle w:val="Compact"/>
        <w:numPr>
          <w:ilvl w:val="0"/>
          <w:numId w:val="1028"/>
        </w:numPr>
      </w:pPr>
      <w:r>
        <w:t xml:space="preserve">файлы форматов</w:t>
      </w:r>
      <w:r>
        <w:t xml:space="preserve"> </w:t>
      </w:r>
      <w:r>
        <w:rPr>
          <w:rStyle w:val="VerbatimChar"/>
        </w:rPr>
        <w:t xml:space="preserve">*.pft</w:t>
      </w:r>
      <w:r>
        <w:t xml:space="preserve">,</w:t>
      </w:r>
      <w:r>
        <w:t xml:space="preserve"> </w:t>
      </w:r>
      <w:r>
        <w:rPr>
          <w:rStyle w:val="VerbatimChar"/>
        </w:rPr>
        <w:t xml:space="preserve">*.pft128</w:t>
      </w:r>
      <w:r>
        <w:t xml:space="preserve"> </w:t>
      </w:r>
      <w:r>
        <w:t xml:space="preserve">и пользовательские варианты, если они заведены в базе;</w:t>
      </w:r>
    </w:p>
    <w:p>
      <w:pPr>
        <w:pStyle w:val="Compact"/>
        <w:numPr>
          <w:ilvl w:val="0"/>
          <w:numId w:val="1028"/>
        </w:numPr>
      </w:pPr>
      <w:r>
        <w:t xml:space="preserve">файл оптимизации просмотра, заданный параметром</w:t>
      </w:r>
      <w:r>
        <w:t xml:space="preserve"> </w:t>
      </w:r>
      <w:r>
        <w:rPr>
          <w:rStyle w:val="VerbatimChar"/>
        </w:rPr>
        <w:t xml:space="preserve">PFTOPT</w:t>
      </w:r>
      <w:r>
        <w:t xml:space="preserve"> </w:t>
      </w:r>
      <w:r>
        <w:t xml:space="preserve">в секции</w:t>
      </w:r>
      <w:r>
        <w:t xml:space="preserve"> </w:t>
      </w:r>
      <w:r>
        <w:rPr>
          <w:rStyle w:val="VerbatimChar"/>
        </w:rPr>
        <w:t xml:space="preserve">[MAIN]</w:t>
      </w:r>
      <w:r>
        <w:t xml:space="preserve"> </w:t>
      </w:r>
      <w:r>
        <w:t xml:space="preserve">INI-файла базы;</w:t>
      </w:r>
    </w:p>
    <w:p>
      <w:pPr>
        <w:pStyle w:val="Compact"/>
        <w:numPr>
          <w:ilvl w:val="0"/>
          <w:numId w:val="1028"/>
        </w:numPr>
      </w:pPr>
      <w:r>
        <w:t xml:space="preserve">списки форматов и меню, из которых пользователь выбирает вариант просмотра или печати;</w:t>
      </w:r>
    </w:p>
    <w:p>
      <w:pPr>
        <w:pStyle w:val="Compact"/>
        <w:numPr>
          <w:ilvl w:val="0"/>
          <w:numId w:val="1028"/>
        </w:numPr>
      </w:pPr>
      <w:r>
        <w:t xml:space="preserve">изображения, справочники и другие внешние файлы, на которые ссылаются HTML-форматы.</w:t>
      </w:r>
    </w:p>
    <w:p>
      <w:pPr>
        <w:pStyle w:val="FirstParagraph"/>
      </w:pPr>
      <w:r>
        <w:t xml:space="preserve">Для БД электронного каталога поставка обычно использует оптимизированный HTML-просмотр через</w:t>
      </w:r>
      <w:r>
        <w:t xml:space="preserve"> </w:t>
      </w:r>
      <w:r>
        <w:rPr>
          <w:rStyle w:val="VerbatimChar"/>
        </w:rPr>
        <w:t xml:space="preserve">PFTW_H.OPT</w:t>
      </w:r>
      <w:r>
        <w:t xml:space="preserve">. Если в базе выбран другой файл, например</w:t>
      </w:r>
      <w:r>
        <w:t xml:space="preserve"> </w:t>
      </w:r>
      <w:r>
        <w:rPr>
          <w:rStyle w:val="VerbatimChar"/>
        </w:rPr>
        <w:t xml:space="preserve">PFTW.OPT</w:t>
      </w:r>
      <w:r>
        <w:t xml:space="preserve">, проверять нужно именно тот список, который фактически задан в</w:t>
      </w:r>
      <w:r>
        <w:t xml:space="preserve"> </w:t>
      </w:r>
      <w:r>
        <w:rPr>
          <w:rStyle w:val="VerbatimChar"/>
        </w:rPr>
        <w:t xml:space="preserve">PFTOPT</w:t>
      </w:r>
      <w:r>
        <w:t xml:space="preserve">.</w:t>
      </w:r>
    </w:p>
    <w:bookmarkEnd w:id="364"/>
    <w:bookmarkStart w:id="365" w:name="как-принять-изменение"/>
    <w:p>
      <w:pPr>
        <w:pStyle w:val="Heading3"/>
      </w:pPr>
      <w:r>
        <w:t xml:space="preserve">2. Как принять изменение</w:t>
      </w:r>
    </w:p>
    <w:p>
      <w:pPr>
        <w:pStyle w:val="FirstParagraph"/>
      </w:pPr>
      <w:r>
        <w:t xml:space="preserve">Сравнивайте не только дату файла, но и смысл изменения. Для каждого отличающегося формата выберите один из вариантов:</w:t>
      </w:r>
    </w:p>
    <w:p>
      <w:pPr>
        <w:pStyle w:val="Compact"/>
        <w:numPr>
          <w:ilvl w:val="0"/>
          <w:numId w:val="1029"/>
        </w:numPr>
      </w:pPr>
      <w:r>
        <w:t xml:space="preserve">принять поставочный файл новой версии без изменений, если локальных доработок в нем нет;</w:t>
      </w:r>
    </w:p>
    <w:p>
      <w:pPr>
        <w:pStyle w:val="Compact"/>
        <w:numPr>
          <w:ilvl w:val="0"/>
          <w:numId w:val="1029"/>
        </w:numPr>
      </w:pPr>
      <w:r>
        <w:t xml:space="preserve">перенести локальные изменения в новый поставочный файл, если в новой версии есть исправления, которые нужны базе;</w:t>
      </w:r>
    </w:p>
    <w:p>
      <w:pPr>
        <w:pStyle w:val="Compact"/>
        <w:numPr>
          <w:ilvl w:val="0"/>
          <w:numId w:val="1029"/>
        </w:numPr>
      </w:pPr>
      <w:r>
        <w:t xml:space="preserve">оставить локальный вариант, если поставочное изменение не относится к используемому сценарию, а локальная доработка важнее;</w:t>
      </w:r>
    </w:p>
    <w:p>
      <w:pPr>
        <w:pStyle w:val="Compact"/>
        <w:numPr>
          <w:ilvl w:val="0"/>
          <w:numId w:val="1029"/>
        </w:numPr>
      </w:pPr>
      <w:r>
        <w:t xml:space="preserve">вынести локальную доработку в пользовательский файл, если такой способ поддерживается в конкретном месте поставки.</w:t>
      </w:r>
    </w:p>
    <w:p>
      <w:pPr>
        <w:pStyle w:val="FirstParagraph"/>
      </w:pPr>
      <w:r>
        <w:t xml:space="preserve">После объединения изменений проверьте результат на записях разных типов. Для оптимизированного просмотра важно открыть записи с разными значениями поля</w:t>
      </w:r>
      <w:r>
        <w:t xml:space="preserve"> </w:t>
      </w:r>
      <w:r>
        <w:rPr>
          <w:rStyle w:val="VerbatimChar"/>
        </w:rPr>
        <w:t xml:space="preserve">920</w:t>
      </w:r>
      <w:r>
        <w:t xml:space="preserve">, потому что именно тип документа определяет, какой формат будет выбран из</w:t>
      </w:r>
      <w:r>
        <w:t xml:space="preserve"> </w:t>
      </w:r>
      <w:r>
        <w:rPr>
          <w:rStyle w:val="VerbatimChar"/>
        </w:rPr>
        <w:t xml:space="preserve">PFTOPT</w:t>
      </w:r>
      <w:r>
        <w:t xml:space="preserve">.</w:t>
      </w:r>
    </w:p>
    <w:bookmarkEnd w:id="365"/>
    <w:bookmarkStart w:id="368" w:name="особенности-html-форматов"/>
    <w:p>
      <w:pPr>
        <w:pStyle w:val="Heading3"/>
      </w:pPr>
      <w:r>
        <w:t xml:space="preserve">3. Особенности HTML-форматов</w:t>
      </w:r>
    </w:p>
    <w:p>
      <w:pPr>
        <w:pStyle w:val="FirstParagraph"/>
      </w:pPr>
      <w:r>
        <w:t xml:space="preserve">HTML-формат должен формировать корректный HTML-результат и не смешиваться с RTF-разметкой. Если формат явно должен обрабатываться как HTML, в его начале используется фиктивный тег:</w:t>
      </w:r>
    </w:p>
    <w:p>
      <w:pPr>
        <w:pStyle w:val="SourceCode"/>
      </w:pPr>
      <w:r>
        <w:rPr>
          <w:rStyle w:val="VerbatimChar"/>
        </w:rPr>
        <w:t xml:space="preserve">'&lt;/&gt;'</w:t>
      </w:r>
    </w:p>
    <w:p>
      <w:pPr>
        <w:pStyle w:val="FirstParagraph"/>
      </w:pPr>
      <w:r>
        <w:t xml:space="preserve">В HTML-форматах проверьте:</w:t>
      </w:r>
    </w:p>
    <w:p>
      <w:pPr>
        <w:pStyle w:val="Compact"/>
        <w:numPr>
          <w:ilvl w:val="0"/>
          <w:numId w:val="1030"/>
        </w:numPr>
      </w:pPr>
      <w:r>
        <w:t xml:space="preserve">не выводятся ли пользователю служебные фрагменты формата или необработанная разметка;</w:t>
      </w:r>
    </w:p>
    <w:p>
      <w:pPr>
        <w:pStyle w:val="Compact"/>
        <w:numPr>
          <w:ilvl w:val="0"/>
          <w:numId w:val="1030"/>
        </w:numPr>
      </w:pPr>
      <w:r>
        <w:t xml:space="preserve">открываются ли ссылки и внешние объекты, заданные через</w:t>
      </w:r>
      <w:r>
        <w:t xml:space="preserve"> </w:t>
      </w:r>
      <w:r>
        <w:rPr>
          <w:rStyle w:val="VerbatimChar"/>
        </w:rPr>
        <w:t xml:space="preserve">IRBIS:</w:t>
      </w:r>
      <w:r>
        <w:t xml:space="preserve">-адресацию;</w:t>
      </w:r>
    </w:p>
    <w:p>
      <w:pPr>
        <w:pStyle w:val="Compact"/>
        <w:numPr>
          <w:ilvl w:val="0"/>
          <w:numId w:val="1030"/>
        </w:numPr>
      </w:pPr>
      <w:r>
        <w:t xml:space="preserve">отображаются ли изображения и штрихкоды, если они используются в формате;</w:t>
      </w:r>
    </w:p>
    <w:p>
      <w:pPr>
        <w:pStyle w:val="Compact"/>
        <w:numPr>
          <w:ilvl w:val="0"/>
          <w:numId w:val="1030"/>
        </w:numPr>
      </w:pPr>
      <w:r>
        <w:t xml:space="preserve">не нарушается ли вывод в окнах поиска и просмотра после выбора другого формата.</w:t>
      </w:r>
    </w:p>
    <w:p>
      <w:pPr>
        <w:pStyle w:val="FirstParagraph"/>
      </w:pPr>
      <w:r>
        <w:t xml:space="preserve">Описание правил RTF- и HTML-разметки находится в разделе</w:t>
      </w:r>
      <w:r>
        <w:t xml:space="preserve"> </w:t>
      </w:r>
      <w:hyperlink r:id="rId366">
        <w:r>
          <w:rPr>
            <w:rStyle w:val="Hyperlink"/>
          </w:rPr>
          <w:t xml:space="preserve">Использование команд RTF и HTML</w:t>
        </w:r>
      </w:hyperlink>
      <w:r>
        <w:t xml:space="preserve">. Назначение основных форматов и</w:t>
      </w:r>
      <w:r>
        <w:t xml:space="preserve"> </w:t>
      </w:r>
      <w:r>
        <w:rPr>
          <w:rStyle w:val="VerbatimChar"/>
        </w:rPr>
        <w:t xml:space="preserve">PFTW_H.OPT</w:t>
      </w:r>
      <w:r>
        <w:t xml:space="preserve"> </w:t>
      </w:r>
      <w:r>
        <w:t xml:space="preserve">описано в разделе</w:t>
      </w:r>
      <w:r>
        <w:t xml:space="preserve"> </w:t>
      </w:r>
      <w:hyperlink r:id="rId367">
        <w:r>
          <w:rPr>
            <w:rStyle w:val="Hyperlink"/>
          </w:rPr>
          <w:t xml:space="preserve">Список и назначение форматов системы ИРБИС</w:t>
        </w:r>
      </w:hyperlink>
      <w:r>
        <w:t xml:space="preserve">.</w:t>
      </w:r>
    </w:p>
    <w:bookmarkEnd w:id="368"/>
    <w:bookmarkStart w:id="370" w:name="после-обновления"/>
    <w:p>
      <w:pPr>
        <w:pStyle w:val="Heading3"/>
      </w:pPr>
      <w:r>
        <w:t xml:space="preserve">4. После обновления</w:t>
      </w:r>
    </w:p>
    <w:p>
      <w:pPr>
        <w:pStyle w:val="FirstParagraph"/>
      </w:pPr>
      <w:r>
        <w:t xml:space="preserve">После замены или объединения файлов откройте базу в рабочем АРМе и проверьте основные пользовательские сценарии: поиск, краткий и полный просмотр, печать или формирование выходного документа, если соответствующий формат менялся. Если система уже использовала старые версии файлов, очистите кэшированные данные БД перед повторной проверкой.</w:t>
      </w:r>
    </w:p>
    <w:p>
      <w:pPr>
        <w:pStyle w:val="BodyText"/>
      </w:pPr>
      <w:r>
        <w:t xml:space="preserve">Если при выполнении формата появляется сообщение</w:t>
      </w:r>
      <w:r>
        <w:t xml:space="preserve"> </w:t>
      </w:r>
      <w:r>
        <w:rPr>
          <w:rStyle w:val="VerbatimChar"/>
        </w:rPr>
        <w:t xml:space="preserve">*** Format error n</w:t>
      </w:r>
      <w:r>
        <w:t xml:space="preserve">, используйте список кодов в разделе</w:t>
      </w:r>
      <w:r>
        <w:t xml:space="preserve"> </w:t>
      </w:r>
      <w:hyperlink r:id="rId369">
        <w:r>
          <w:rPr>
            <w:rStyle w:val="Hyperlink"/>
          </w:rPr>
          <w:t xml:space="preserve">Ошибки, возникающие при обработке формата</w:t>
        </w:r>
      </w:hyperlink>
      <w:r>
        <w:t xml:space="preserve">.</w:t>
      </w:r>
    </w:p>
    <w:bookmarkEnd w:id="370"/>
    <w:bookmarkEnd w:id="371"/>
    <w:bookmarkStart w:id="372" w:name="X38073e3ed2b229fc9df62f95899a4183a80ecc8"/>
    <w:p>
      <w:pPr>
        <w:pStyle w:val="Heading2"/>
      </w:pPr>
      <w:r>
        <w:t xml:space="preserve">Ошибки, возникающие при обработке формата.</w:t>
      </w:r>
    </w:p>
    <w:p>
      <w:pPr>
        <w:pStyle w:val="FirstParagraph"/>
      </w:pPr>
      <w:r>
        <w:t xml:space="preserve">Во время интерпретации и обработки формата система выполняет его синтаксический анализ для установления соответствия правилам языка форматирования. Если обнаруживается ошибка, то процесс форматирования прекращается и выдается сообщение (непосредственно в результат форматирования):</w:t>
      </w:r>
    </w:p>
    <w:p>
      <w:pPr>
        <w:pStyle w:val="SourceCode"/>
      </w:pPr>
      <w:r>
        <w:rPr>
          <w:rStyle w:val="NormalTok"/>
        </w:rPr>
        <w:t xml:space="preserve">*** Format error n</w:t>
      </w:r>
    </w:p>
    <w:p>
      <w:pPr>
        <w:pStyle w:val="FirstParagraph"/>
      </w:pPr>
      <w:r>
        <w:t xml:space="preserve">где n - код ошибки.</w:t>
      </w:r>
    </w:p>
    <w:p>
      <w:pPr>
        <w:pStyle w:val="BodyText"/>
      </w:pPr>
      <w:r>
        <w:t xml:space="preserve">Список возможных кодов ошибок приведен ниже в порядке возрастания их номеров.</w:t>
      </w:r>
    </w:p>
    <w:tbl>
      <w:tblPr>
        <w:tblStyle w:val="Table"/>
        <w:tblW w:type="pct" w:w="5000"/>
        <w:tblLayout w:type="fixed"/>
        <w:tblLook w:firstRow="1" w:lastRow="0" w:firstColumn="0" w:lastColumn="0" w:noHBand="0" w:noVBand="0" w:val="0020"/>
      </w:tblPr>
      <w:tblGrid>
        <w:gridCol w:w="156"/>
        <w:gridCol w:w="7763"/>
      </w:tblGrid>
      <w:tr>
        <w:trPr>
          <w:tblHeader w:val="on"/>
        </w:trPr>
        <w:tc>
          <w:tcPr/>
          <w:p>
            <w:pPr>
              <w:pStyle w:val="Compact"/>
            </w:pPr>
            <w:r>
              <w:t xml:space="preserve">Код</w:t>
            </w:r>
          </w:p>
        </w:tc>
        <w:tc>
          <w:tcPr/>
          <w:p>
            <w:pPr>
              <w:pStyle w:val="Compact"/>
            </w:pPr>
            <w:r>
              <w:t xml:space="preserve">Описание</w:t>
            </w:r>
          </w:p>
        </w:tc>
      </w:tr>
      <w:tr>
        <w:tc>
          <w:tcPr/>
          <w:p>
            <w:pPr>
              <w:pStyle w:val="Compact"/>
            </w:pPr>
            <w:r>
              <w:t xml:space="preserve">1</w:t>
            </w:r>
          </w:p>
        </w:tc>
        <w:tc>
          <w:tcPr/>
          <w:p>
            <w:pPr>
              <w:pStyle w:val="Compact"/>
            </w:pPr>
            <w:r>
              <w:t xml:space="preserve">Обнаружен конец формата в процессе обработки повторяющейся группы. Возможно пропущена закрывающая скобка повторяющейся группы.</w:t>
            </w:r>
          </w:p>
        </w:tc>
      </w:tr>
      <w:tr>
        <w:tc>
          <w:tcPr/>
          <w:p>
            <w:pPr>
              <w:pStyle w:val="Compact"/>
            </w:pPr>
            <w:r>
              <w:t xml:space="preserve">2</w:t>
            </w:r>
          </w:p>
        </w:tc>
        <w:tc>
          <w:tcPr/>
          <w:p>
            <w:pPr>
              <w:pStyle w:val="Compact"/>
            </w:pPr>
            <w:r>
              <w:t xml:space="preserve">Вложенность повторяющейся группы (т.е. одна повторяющаяся группа расположена внутри другой повторяющейся группы).</w:t>
            </w:r>
          </w:p>
        </w:tc>
      </w:tr>
      <w:tr>
        <w:tc>
          <w:tcPr/>
          <w:p>
            <w:pPr>
              <w:pStyle w:val="Compact"/>
            </w:pPr>
            <w:r>
              <w:t xml:space="preserve">8</w:t>
            </w:r>
          </w:p>
        </w:tc>
        <w:tc>
          <w:tcPr/>
          <w:p>
            <w:pPr>
              <w:pStyle w:val="Compact"/>
            </w:pPr>
            <w:r>
              <w:t xml:space="preserve">Команда IF без THEN.</w:t>
            </w:r>
          </w:p>
        </w:tc>
      </w:tr>
      <w:tr>
        <w:tc>
          <w:tcPr/>
          <w:p>
            <w:pPr>
              <w:pStyle w:val="Compact"/>
            </w:pPr>
            <w:r>
              <w:t xml:space="preserve">19</w:t>
            </w:r>
          </w:p>
        </w:tc>
        <w:tc>
          <w:tcPr/>
          <w:p>
            <w:pPr>
              <w:pStyle w:val="Compact"/>
            </w:pPr>
            <w:r>
              <w:t xml:space="preserve">Непарная открывающаяся скобка (.</w:t>
            </w:r>
          </w:p>
        </w:tc>
      </w:tr>
      <w:tr>
        <w:tc>
          <w:tcPr/>
          <w:p>
            <w:pPr>
              <w:pStyle w:val="Compact"/>
            </w:pPr>
            <w:r>
              <w:t xml:space="preserve">20</w:t>
            </w:r>
          </w:p>
        </w:tc>
        <w:tc>
          <w:tcPr/>
          <w:p>
            <w:pPr>
              <w:pStyle w:val="Compact"/>
            </w:pPr>
            <w:r>
              <w:t xml:space="preserve">Непарная закрывающаяся скобка ). Также может быть вызвано наличием неправильного операнда в выражении.</w:t>
            </w:r>
          </w:p>
        </w:tc>
      </w:tr>
      <w:tr>
        <w:tc>
          <w:tcPr/>
          <w:p>
            <w:pPr>
              <w:pStyle w:val="Compact"/>
            </w:pPr>
            <w:r>
              <w:t xml:space="preserve">26</w:t>
            </w:r>
          </w:p>
        </w:tc>
        <w:tc>
          <w:tcPr/>
          <w:p>
            <w:pPr>
              <w:pStyle w:val="Compact"/>
            </w:pPr>
            <w:r>
              <w:t xml:space="preserve">Два операнда различных типов в одном операторе (например, попытка сложить строковый операнд с числом).</w:t>
            </w:r>
          </w:p>
        </w:tc>
      </w:tr>
      <w:tr>
        <w:tc>
          <w:tcPr/>
          <w:p>
            <w:pPr>
              <w:pStyle w:val="Compact"/>
            </w:pPr>
            <w:r>
              <w:t xml:space="preserve">28</w:t>
            </w:r>
          </w:p>
        </w:tc>
        <w:tc>
          <w:tcPr/>
          <w:p>
            <w:pPr>
              <w:pStyle w:val="Compact"/>
            </w:pPr>
            <w:r>
              <w:t xml:space="preserve">Первый аргумент функции REF - нечисловое выражение.</w:t>
            </w:r>
          </w:p>
        </w:tc>
      </w:tr>
      <w:tr>
        <w:tc>
          <w:tcPr/>
          <w:p>
            <w:pPr>
              <w:pStyle w:val="Compact"/>
            </w:pPr>
            <w:r>
              <w:t xml:space="preserve">51</w:t>
            </w:r>
          </w:p>
        </w:tc>
        <w:tc>
          <w:tcPr/>
          <w:p>
            <w:pPr>
              <w:pStyle w:val="Compact"/>
            </w:pPr>
            <w:r>
              <w:t xml:space="preserve">Слишком много литералов и/или условных команд связано с командой вывода поля.</w:t>
            </w:r>
          </w:p>
        </w:tc>
      </w:tr>
      <w:tr>
        <w:tc>
          <w:tcPr/>
          <w:p>
            <w:pPr>
              <w:pStyle w:val="Compact"/>
            </w:pPr>
            <w:r>
              <w:t xml:space="preserve">53</w:t>
            </w:r>
          </w:p>
        </w:tc>
        <w:tc>
          <w:tcPr/>
          <w:p>
            <w:pPr>
              <w:pStyle w:val="Compact"/>
            </w:pPr>
            <w:r>
              <w:t xml:space="preserve">IF команда не завершена ключевым словом FI.</w:t>
            </w:r>
          </w:p>
        </w:tc>
      </w:tr>
      <w:tr>
        <w:tc>
          <w:tcPr/>
          <w:p>
            <w:pPr>
              <w:pStyle w:val="Compact"/>
            </w:pPr>
            <w:r>
              <w:t xml:space="preserve">54</w:t>
            </w:r>
          </w:p>
        </w:tc>
        <w:tc>
          <w:tcPr/>
          <w:p>
            <w:pPr>
              <w:pStyle w:val="Compact"/>
            </w:pPr>
            <w:r>
              <w:t xml:space="preserve">Знак + не соответствует контексту: CDS/ISIS предполагает наличие повторяющегося литерала за знаком +.</w:t>
            </w:r>
          </w:p>
        </w:tc>
      </w:tr>
      <w:tr>
        <w:tc>
          <w:tcPr/>
          <w:p>
            <w:pPr>
              <w:pStyle w:val="Compact"/>
            </w:pPr>
            <w:r>
              <w:t xml:space="preserve">55</w:t>
            </w:r>
          </w:p>
        </w:tc>
        <w:tc>
          <w:tcPr/>
          <w:p>
            <w:pPr>
              <w:pStyle w:val="Compact"/>
            </w:pPr>
            <w:r>
              <w:t xml:space="preserve">Непарное ключевое слово FI.</w:t>
            </w:r>
          </w:p>
        </w:tc>
      </w:tr>
      <w:tr>
        <w:tc>
          <w:tcPr/>
          <w:p>
            <w:pPr>
              <w:pStyle w:val="Compact"/>
            </w:pPr>
            <w:r>
              <w:t xml:space="preserve">56</w:t>
            </w:r>
          </w:p>
        </w:tc>
        <w:tc>
          <w:tcPr/>
          <w:p>
            <w:pPr>
              <w:pStyle w:val="Compact"/>
            </w:pPr>
            <w:r>
              <w:t xml:space="preserve">Переполнение рабочей области: формат создает слишком большой выходной текст, который система не может обработать.</w:t>
            </w:r>
          </w:p>
        </w:tc>
      </w:tr>
      <w:tr>
        <w:tc>
          <w:tcPr/>
          <w:p>
            <w:pPr>
              <w:pStyle w:val="Compact"/>
            </w:pPr>
            <w:r>
              <w:t xml:space="preserve">57</w:t>
            </w:r>
          </w:p>
        </w:tc>
        <w:tc>
          <w:tcPr/>
          <w:p>
            <w:pPr>
              <w:pStyle w:val="Compact"/>
            </w:pPr>
            <w:r>
              <w:t xml:space="preserve">Зацикливание повторяющейся группы</w:t>
            </w:r>
          </w:p>
        </w:tc>
      </w:tr>
      <w:tr>
        <w:tc>
          <w:tcPr/>
          <w:p>
            <w:pPr>
              <w:pStyle w:val="Compact"/>
            </w:pPr>
            <w:r>
              <w:t xml:space="preserve">58</w:t>
            </w:r>
          </w:p>
        </w:tc>
        <w:tc>
          <w:tcPr/>
          <w:p>
            <w:pPr>
              <w:pStyle w:val="Compact"/>
            </w:pPr>
            <w:r>
              <w:t xml:space="preserve">Один или более аргументов функции F - нечисловые выражения.</w:t>
            </w:r>
          </w:p>
        </w:tc>
      </w:tr>
      <w:tr>
        <w:tc>
          <w:tcPr/>
          <w:p>
            <w:pPr>
              <w:pStyle w:val="Compact"/>
            </w:pPr>
            <w:r>
              <w:t xml:space="preserve">60</w:t>
            </w:r>
          </w:p>
        </w:tc>
        <w:tc>
          <w:tcPr/>
          <w:p>
            <w:pPr>
              <w:pStyle w:val="Compact"/>
            </w:pPr>
            <w:r>
              <w:t xml:space="preserve">Нестроковая функция используется как команда (только строковые функции могут быть использованы в качестве команды).</w:t>
            </w:r>
          </w:p>
        </w:tc>
      </w:tr>
      <w:tr>
        <w:tc>
          <w:tcPr/>
          <w:p>
            <w:pPr>
              <w:pStyle w:val="Compact"/>
            </w:pPr>
            <w:r>
              <w:t xml:space="preserve">61</w:t>
            </w:r>
          </w:p>
        </w:tc>
        <w:tc>
          <w:tcPr/>
          <w:p>
            <w:pPr>
              <w:pStyle w:val="Compact"/>
            </w:pPr>
            <w:r>
              <w:t xml:space="preserve">Аргумент функции A или Р - не команда вывода поля.</w:t>
            </w:r>
          </w:p>
        </w:tc>
      </w:tr>
      <w:tr>
        <w:tc>
          <w:tcPr/>
          <w:p>
            <w:pPr>
              <w:pStyle w:val="Compact"/>
            </w:pPr>
            <w:r>
              <w:t xml:space="preserve">99</w:t>
            </w:r>
          </w:p>
        </w:tc>
        <w:tc>
          <w:tcPr/>
          <w:p>
            <w:pPr>
              <w:pStyle w:val="Compact"/>
            </w:pPr>
            <w:r>
              <w:t xml:space="preserve">Неизвестная команда (например, ошибка в правильности написания имени функции или команды), возможен также пропуск закрывающего ограничителя литерала.</w:t>
            </w:r>
          </w:p>
        </w:tc>
      </w:tr>
      <w:tr>
        <w:tc>
          <w:tcPr/>
          <w:p>
            <w:pPr>
              <w:pStyle w:val="Compact"/>
            </w:pPr>
            <w:r>
              <w:t xml:space="preserve">101</w:t>
            </w:r>
          </w:p>
        </w:tc>
        <w:tc>
          <w:tcPr/>
          <w:p>
            <w:pPr>
              <w:pStyle w:val="Compact"/>
            </w:pPr>
            <w:r>
              <w:t xml:space="preserve">Переполнение стека (возможно из-за наличия слишком сложного выражения).</w:t>
            </w:r>
          </w:p>
        </w:tc>
      </w:tr>
      <w:tr>
        <w:tc>
          <w:tcPr/>
          <w:p>
            <w:pPr>
              <w:pStyle w:val="Compact"/>
            </w:pPr>
            <w:r>
              <w:t xml:space="preserve">102</w:t>
            </w:r>
          </w:p>
        </w:tc>
        <w:tc>
          <w:tcPr/>
          <w:p>
            <w:pPr>
              <w:pStyle w:val="Compact"/>
            </w:pPr>
            <w:r>
              <w:t xml:space="preserve">Некорректная работа со стеком (может быть из-за непарной открывающей скобки).</w:t>
            </w:r>
          </w:p>
        </w:tc>
      </w:tr>
    </w:tbl>
    <w:bookmarkEnd w:id="372"/>
    <w:bookmarkStart w:id="377" w:name="X9180c1897d6a7618e71242983d39022dc64b9ae"/>
    <w:p>
      <w:pPr>
        <w:pStyle w:val="Heading2"/>
      </w:pPr>
      <w:r>
        <w:t xml:space="preserve">Форматы с переменными параметрами (интерактивные форматы)</w:t>
      </w:r>
    </w:p>
    <w:p>
      <w:pPr>
        <w:pStyle w:val="FirstParagraph"/>
      </w:pPr>
      <w:r>
        <w:t xml:space="preserve">Интерактивный формат - это формат, перед выполнением которого пользователь задает значения переменных параметров через рабочий лист подполей.</w:t>
      </w:r>
    </w:p>
    <w:p>
      <w:pPr>
        <w:pStyle w:val="BodyText"/>
      </w:pPr>
      <w:r>
        <w:t xml:space="preserve">Признаком интерактивного формата является имя формата с префиксом</w:t>
      </w:r>
      <w:r>
        <w:t xml:space="preserve"> </w:t>
      </w:r>
      <w:r>
        <w:rPr>
          <w:rStyle w:val="VerbatimChar"/>
        </w:rPr>
        <w:t xml:space="preserve">#</w:t>
      </w:r>
      <w:r>
        <w:t xml:space="preserve">, например</w:t>
      </w:r>
      <w:r>
        <w:t xml:space="preserve"> </w:t>
      </w:r>
      <w:r>
        <w:rPr>
          <w:rStyle w:val="VerbatimChar"/>
        </w:rPr>
        <w:t xml:space="preserve">#test.pft</w:t>
      </w:r>
      <w:r>
        <w:t xml:space="preserve">.</w:t>
      </w:r>
    </w:p>
    <w:p>
      <w:pPr>
        <w:pStyle w:val="BodyText"/>
      </w:pPr>
      <w:r>
        <w:t xml:space="preserve">Переменные параметры указываются в формате как подполя специального модельного поля. По умолчанию используется поле</w:t>
      </w:r>
      <w:r>
        <w:t xml:space="preserve"> </w:t>
      </w:r>
      <w:r>
        <w:rPr>
          <w:rStyle w:val="VerbatimChar"/>
        </w:rPr>
        <w:t xml:space="preserve">991</w:t>
      </w:r>
      <w:r>
        <w:t xml:space="preserve">. Значения этих подполей вводятся перед форматированием по рабочему листу подполей с тем же именем, что и формат, например</w:t>
      </w:r>
      <w:r>
        <w:t xml:space="preserve"> </w:t>
      </w:r>
      <w:r>
        <w:rPr>
          <w:rStyle w:val="VerbatimChar"/>
        </w:rPr>
        <w:t xml:space="preserve">#test.wss</w:t>
      </w:r>
      <w:r>
        <w:t xml:space="preserve">.</w:t>
      </w:r>
    </w:p>
    <w:p>
      <w:pPr>
        <w:pStyle w:val="BodyText"/>
      </w:pPr>
      <w:r>
        <w:t xml:space="preserve">Интерактивные форматы применяются:</w:t>
      </w:r>
    </w:p>
    <w:p>
      <w:pPr>
        <w:pStyle w:val="Compact"/>
        <w:numPr>
          <w:ilvl w:val="0"/>
          <w:numId w:val="1031"/>
        </w:numPr>
      </w:pPr>
      <w:r>
        <w:t xml:space="preserve">в режимах списочной печати стандартных АРМов ИРБИС: Каталогизатор, Комплектатор, Книговыдача, Читатель, Книгообеспеченность;</w:t>
      </w:r>
    </w:p>
    <w:p>
      <w:pPr>
        <w:pStyle w:val="Compact"/>
        <w:numPr>
          <w:ilvl w:val="0"/>
          <w:numId w:val="1031"/>
        </w:numPr>
      </w:pPr>
      <w:r>
        <w:t xml:space="preserve">в оперативном просмотре документов через пункт меню</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w:t>
      </w:r>
    </w:p>
    <w:bookmarkStart w:id="373" w:name="настройка-списка-форматов-для-просмотра"/>
    <w:p>
      <w:pPr>
        <w:pStyle w:val="Heading3"/>
      </w:pPr>
      <w:r>
        <w:t xml:space="preserve">1. Настройка списка форматов для просмотра</w:t>
      </w:r>
    </w:p>
    <w:p>
      <w:pPr>
        <w:pStyle w:val="FirstParagraph"/>
      </w:pPr>
      <w:r>
        <w:t xml:space="preserve">Список интерактивных форматов, доступных для просмотра в конкретной базе данных, задается справочником. Имя справочника указывается в профиле пользователя в секции</w:t>
      </w:r>
      <w:r>
        <w:t xml:space="preserve"> </w:t>
      </w:r>
      <w:r>
        <w:rPr>
          <w:rStyle w:val="VerbatimChar"/>
        </w:rPr>
        <w:t xml:space="preserve">[MAIN]</w:t>
      </w:r>
      <w:r>
        <w:t xml:space="preserve">:</w:t>
      </w:r>
    </w:p>
    <w:p>
      <w:pPr>
        <w:pStyle w:val="SourceCode"/>
      </w:pPr>
      <w:r>
        <w:rPr>
          <w:rStyle w:val="DataTypeTok"/>
        </w:rPr>
        <w:t xml:space="preserve">ACTPFTMNU</w:t>
      </w:r>
      <w:r>
        <w:rPr>
          <w:rStyle w:val="OtherTok"/>
        </w:rPr>
        <w:t xml:space="preserve">=</w:t>
      </w:r>
    </w:p>
    <w:p>
      <w:pPr>
        <w:pStyle w:val="FirstParagraph"/>
      </w:pPr>
      <w:r>
        <w:t xml:space="preserve">Если параметр не задан, используется справочник</w:t>
      </w:r>
      <w:r>
        <w:t xml:space="preserve"> </w:t>
      </w:r>
      <w:r>
        <w:rPr>
          <w:rStyle w:val="VerbatimChar"/>
        </w:rPr>
        <w:t xml:space="preserve">ACTPFT.MNU</w:t>
      </w:r>
      <w:r>
        <w:t xml:space="preserve">.</w:t>
      </w:r>
    </w:p>
    <w:p>
      <w:pPr>
        <w:pStyle w:val="BodyText"/>
      </w:pPr>
      <w:r>
        <w:t xml:space="preserve">В этот справочник включаются форматы, которые пользователь сможет выбрать в окне просмотра. Для каждого такого формата должен быть подготовлен рабочий лист подполей с тем же именем.</w:t>
      </w:r>
    </w:p>
    <w:bookmarkEnd w:id="373"/>
    <w:bookmarkStart w:id="374" w:name="работа-в-режиме-просмотра"/>
    <w:p>
      <w:pPr>
        <w:pStyle w:val="Heading3"/>
      </w:pPr>
      <w:r>
        <w:t xml:space="preserve">2. Работа в режиме просмотра</w:t>
      </w:r>
    </w:p>
    <w:p>
      <w:pPr>
        <w:pStyle w:val="FirstParagraph"/>
      </w:pPr>
      <w:r>
        <w:t xml:space="preserve">В окне просмотра выберите нужный пункт в выпадающем меню интерактивных форматов или вызовите режим через</w:t>
      </w:r>
      <w:r>
        <w:t xml:space="preserve"> </w:t>
      </w:r>
      <w:r>
        <w:rPr>
          <w:rStyle w:val="VerbatimChar"/>
        </w:rPr>
        <w:t xml:space="preserve">Просмотр</w:t>
      </w:r>
      <w:r>
        <w:t xml:space="preserve"> </w:t>
      </w:r>
      <w:r>
        <w:t xml:space="preserve">-</w:t>
      </w:r>
      <w:r>
        <w:t xml:space="preserve"> </w:t>
      </w:r>
      <w:r>
        <w:rPr>
          <w:rStyle w:val="VerbatimChar"/>
        </w:rPr>
        <w:t xml:space="preserve">Интерактивные форматы</w:t>
      </w:r>
      <w:r>
        <w:t xml:space="preserve">. Перед построением результата система откроет рабочий лист подполей и запросит значения переменных параметров. После заполнения параметров формат применяется к просматриваемому документу.</w:t>
      </w:r>
    </w:p>
    <w:p>
      <w:pPr>
        <w:pStyle w:val="BodyText"/>
      </w:pPr>
      <w:r>
        <w:t xml:space="preserve">Заданные значения параметров сохраняются в строке статуса. Чтобы ввести новые значения для того же интерактивного формата, дважды щелкните строку статуса или повторно выберите этот формат.</w:t>
      </w:r>
    </w:p>
    <w:p>
      <w:pPr>
        <w:pStyle w:val="BodyText"/>
      </w:pPr>
      <w:r>
        <w:t xml:space="preserve">Горячая клавиша вызова режима -</w:t>
      </w:r>
      <w:r>
        <w:t xml:space="preserve"> </w:t>
      </w:r>
      <w:r>
        <w:rPr>
          <w:rStyle w:val="VerbatimChar"/>
        </w:rPr>
        <w:t xml:space="preserve">Alt-T</w:t>
      </w:r>
      <w:r>
        <w:t xml:space="preserve">.</w:t>
      </w:r>
    </w:p>
    <w:bookmarkEnd w:id="374"/>
    <w:bookmarkStart w:id="375" w:name="ограничения"/>
    <w:p>
      <w:pPr>
        <w:pStyle w:val="Heading3"/>
      </w:pPr>
      <w:r>
        <w:t xml:space="preserve">3. Ограничения</w:t>
      </w:r>
    </w:p>
    <w:p>
      <w:pPr>
        <w:pStyle w:val="FirstParagraph"/>
      </w:pPr>
      <w:r>
        <w:t xml:space="preserve">Интерактивные форматы не могут быть вложенными и не могут вызываться с помощью форматных выходов.</w:t>
      </w:r>
    </w:p>
    <w:p>
      <w:pPr>
        <w:pStyle w:val="BodyText"/>
      </w:pPr>
      <w:r>
        <w:t xml:space="preserve">Интерактивный формат может использовать данные текущего документа, но это не обязательно. Например, статистические интерактивные форматы могут рассчитывать показатели по базе данных и не зависеть от текущей записи.</w:t>
      </w:r>
    </w:p>
    <w:bookmarkEnd w:id="375"/>
    <w:bookmarkStart w:id="376" w:name="примеры"/>
    <w:p>
      <w:pPr>
        <w:pStyle w:val="Heading3"/>
      </w:pPr>
      <w:r>
        <w:t xml:space="preserve">4. Примеры</w:t>
      </w:r>
    </w:p>
    <w:p>
      <w:pPr>
        <w:pStyle w:val="FirstParagraph"/>
      </w:pPr>
      <w:r>
        <w:t xml:space="preserve">В базе данных</w:t>
      </w:r>
      <w:r>
        <w:t xml:space="preserve"> </w:t>
      </w:r>
      <w:r>
        <w:rPr>
          <w:rStyle w:val="VerbatimChar"/>
        </w:rPr>
        <w:t xml:space="preserve">IBIS</w:t>
      </w:r>
      <w:r>
        <w:t xml:space="preserve"> </w:t>
      </w:r>
      <w:r>
        <w:t xml:space="preserve">могут использоваться интерактивные форматы:</w:t>
      </w:r>
    </w:p>
    <w:p>
      <w:pPr>
        <w:pStyle w:val="Compact"/>
        <w:numPr>
          <w:ilvl w:val="0"/>
          <w:numId w:val="1032"/>
        </w:numPr>
      </w:pPr>
      <w:r>
        <w:rPr>
          <w:rStyle w:val="VerbatimChar"/>
        </w:rPr>
        <w:t xml:space="preserve">#test</w:t>
      </w:r>
      <w:r>
        <w:t xml:space="preserve"> </w:t>
      </w:r>
      <w:r>
        <w:t xml:space="preserve">- количество экземпляров, поступивших по определенному месту хранения за указанный год;</w:t>
      </w:r>
    </w:p>
    <w:p>
      <w:pPr>
        <w:pStyle w:val="Compact"/>
        <w:numPr>
          <w:ilvl w:val="0"/>
          <w:numId w:val="1032"/>
        </w:numPr>
      </w:pPr>
      <w:r>
        <w:rPr>
          <w:rStyle w:val="VerbatimChar"/>
        </w:rPr>
        <w:t xml:space="preserve">#test1</w:t>
      </w:r>
      <w:r>
        <w:t xml:space="preserve"> </w:t>
      </w:r>
      <w:r>
        <w:t xml:space="preserve">- количество документов определенного вида, введенных за указанную дату;</w:t>
      </w:r>
    </w:p>
    <w:p>
      <w:pPr>
        <w:pStyle w:val="Compact"/>
        <w:numPr>
          <w:ilvl w:val="0"/>
          <w:numId w:val="1032"/>
        </w:numPr>
      </w:pPr>
      <w:r>
        <w:rPr>
          <w:rStyle w:val="VerbatimChar"/>
        </w:rPr>
        <w:t xml:space="preserve">#test2</w:t>
      </w:r>
      <w:r>
        <w:t xml:space="preserve"> </w:t>
      </w:r>
      <w:r>
        <w:t xml:space="preserve">- количество документов определенного раздела знаний, введенных за указанную дату;</w:t>
      </w:r>
    </w:p>
    <w:p>
      <w:pPr>
        <w:pStyle w:val="Compact"/>
        <w:numPr>
          <w:ilvl w:val="0"/>
          <w:numId w:val="1032"/>
        </w:numPr>
      </w:pPr>
      <w:r>
        <w:rPr>
          <w:rStyle w:val="VerbatimChar"/>
        </w:rPr>
        <w:t xml:space="preserve">#test3</w:t>
      </w:r>
      <w:r>
        <w:t xml:space="preserve"> </w:t>
      </w:r>
      <w:r>
        <w:t xml:space="preserve">- количество документов определенного вида, введенных или откорректированных определенным каталогизатором за указанную дату;</w:t>
      </w:r>
    </w:p>
    <w:p>
      <w:pPr>
        <w:pStyle w:val="Compact"/>
        <w:numPr>
          <w:ilvl w:val="0"/>
          <w:numId w:val="1032"/>
        </w:numPr>
      </w:pPr>
      <w:r>
        <w:rPr>
          <w:rStyle w:val="VerbatimChar"/>
        </w:rPr>
        <w:t xml:space="preserve">#test4</w:t>
      </w:r>
      <w:r>
        <w:t xml:space="preserve"> </w:t>
      </w:r>
      <w:r>
        <w:t xml:space="preserve">- количество экземпляров по определенному месту хранения.</w:t>
      </w:r>
    </w:p>
    <w:p>
      <w:pPr>
        <w:pStyle w:val="FirstParagraph"/>
      </w:pPr>
      <w:r>
        <w:t xml:space="preserve">В базе данных</w:t>
      </w:r>
      <w:r>
        <w:t xml:space="preserve"> </w:t>
      </w:r>
      <w:r>
        <w:rPr>
          <w:rStyle w:val="VerbatimChar"/>
        </w:rPr>
        <w:t xml:space="preserve">RDR</w:t>
      </w:r>
      <w:r>
        <w:t xml:space="preserve"> </w:t>
      </w:r>
      <w:r>
        <w:t xml:space="preserve">могут использоваться интерактивные форматы:</w:t>
      </w:r>
    </w:p>
    <w:p>
      <w:pPr>
        <w:pStyle w:val="Compact"/>
        <w:numPr>
          <w:ilvl w:val="0"/>
          <w:numId w:val="1033"/>
        </w:numPr>
      </w:pPr>
      <w:r>
        <w:rPr>
          <w:rStyle w:val="VerbatimChar"/>
        </w:rPr>
        <w:t xml:space="preserve">#test</w:t>
      </w:r>
      <w:r>
        <w:t xml:space="preserve"> </w:t>
      </w:r>
      <w:r>
        <w:t xml:space="preserve">- вход/выход за указанный день;</w:t>
      </w:r>
    </w:p>
    <w:p>
      <w:pPr>
        <w:pStyle w:val="Compact"/>
        <w:numPr>
          <w:ilvl w:val="0"/>
          <w:numId w:val="1033"/>
        </w:numPr>
      </w:pPr>
      <w:r>
        <w:rPr>
          <w:rStyle w:val="VerbatimChar"/>
        </w:rPr>
        <w:t xml:space="preserve">#test1</w:t>
      </w:r>
      <w:r>
        <w:t xml:space="preserve"> </w:t>
      </w:r>
      <w:r>
        <w:t xml:space="preserve">- количество посещений за определенную дату указанной категорией читателей без учета архивных данных.</w:t>
      </w:r>
    </w:p>
    <w:bookmarkEnd w:id="376"/>
    <w:bookmarkEnd w:id="377"/>
    <w:bookmarkStart w:id="390" w:name="X33e282fdfcc4d98dce5da5372b883cb17c3bf58"/>
    <w:p>
      <w:pPr>
        <w:pStyle w:val="Heading2"/>
      </w:pPr>
      <w:r>
        <w:t xml:space="preserve">Специальные конструкции языка форматирования</w:t>
      </w:r>
    </w:p>
    <w:bookmarkStart w:id="378" w:name="для-формирования-и-отображения-qr-кодов"/>
    <w:p>
      <w:pPr>
        <w:pStyle w:val="Heading3"/>
      </w:pPr>
      <w:r>
        <w:t xml:space="preserve">1. Для формирования и отображения QR-кодов</w:t>
      </w:r>
    </w:p>
    <w:p>
      <w:pPr>
        <w:pStyle w:val="FirstParagraph"/>
      </w:pPr>
      <w:r>
        <w:t xml:space="preserve">Для формирования и отображения QR-кодов в Web-ИРБИС64+ предлагается следующая конструкция языка форматирования:</w:t>
      </w:r>
    </w:p>
    <w:p>
      <w:pPr>
        <w:pStyle w:val="SourceCode"/>
      </w:pPr>
      <w:r>
        <w:rPr>
          <w:rStyle w:val="VerbatimChar"/>
        </w:rPr>
        <w:t xml:space="preserve">'&lt;img src="data:image/jpg;base64,',&amp;uf('#size,level,qrtext'),'"&gt;'</w:t>
      </w:r>
    </w:p>
    <w:p>
      <w:pPr>
        <w:pStyle w:val="FirstParagraph"/>
      </w:pPr>
      <w:r>
        <w:t xml:space="preserve">где:</w:t>
      </w:r>
      <w:r>
        <w:t xml:space="preserve"> </w:t>
      </w:r>
      <w:r>
        <w:t xml:space="preserve">* size - размер пикселя QR-кода (по умолчанию 4)</w:t>
      </w:r>
      <w:r>
        <w:t xml:space="preserve"> </w:t>
      </w:r>
      <w:r>
        <w:t xml:space="preserve">* level - уровень коррекции: принимает значения:</w:t>
      </w:r>
      <w:r>
        <w:t xml:space="preserve"> </w:t>
      </w:r>
      <w:r>
        <w:t xml:space="preserve">* L – низкий</w:t>
      </w:r>
      <w:r>
        <w:t xml:space="preserve"> </w:t>
      </w:r>
      <w:r>
        <w:t xml:space="preserve">* M – средний</w:t>
      </w:r>
      <w:r>
        <w:t xml:space="preserve"> </w:t>
      </w:r>
      <w:r>
        <w:t xml:space="preserve">* Q – оптимальный</w:t>
      </w:r>
      <w:r>
        <w:t xml:space="preserve"> </w:t>
      </w:r>
      <w:r>
        <w:t xml:space="preserve">* H – наивысший</w:t>
      </w:r>
      <w:r>
        <w:t xml:space="preserve"> </w:t>
      </w:r>
      <w:r>
        <w:t xml:space="preserve">* qrtext - содержание QR-кода</w:t>
      </w:r>
    </w:p>
    <w:p>
      <w:pPr>
        <w:pStyle w:val="BodyText"/>
      </w:pPr>
      <w:r>
        <w:t xml:space="preserve">Для HTML-форматов, работающих в АРМах, следует использовать иную конструкцию:</w:t>
      </w:r>
    </w:p>
    <w:p>
      <w:pPr>
        <w:pStyle w:val="SourceCode"/>
      </w:pPr>
      <w:r>
        <w:rPr>
          <w:rStyle w:val="VerbatimChar"/>
        </w:rPr>
        <w:t xml:space="preserve">'&lt;IRBIS TYPE="4" VALUE="size,level,qrtext"&gt;&lt;/IRBIS&gt;'</w:t>
      </w:r>
    </w:p>
    <w:p>
      <w:pPr>
        <w:pStyle w:val="FirstParagraph"/>
      </w:pPr>
      <w:r>
        <w:t xml:space="preserve">(поскольку предыдущая приводит к крайнему замедлению работы АРМа Каталогизатор!)</w:t>
      </w:r>
    </w:p>
    <w:bookmarkEnd w:id="378"/>
    <w:bookmarkStart w:id="380" w:name="X0f088dab27ed9f217ca1d0effb533c28839d0d4"/>
    <w:p>
      <w:pPr>
        <w:pStyle w:val="Heading3"/>
      </w:pPr>
      <w:r>
        <w:t xml:space="preserve">2. Включение графического объекта НЕПОСРЕДСТВЕННО в HTML-страницу</w:t>
      </w:r>
    </w:p>
    <w:p>
      <w:pPr>
        <w:pStyle w:val="FirstParagraph"/>
      </w:pPr>
      <w:r>
        <w:t xml:space="preserve">Включение графического объекта НЕПОСРЕДСТВЕННО в HTML-страницу с помощью ИРБИС-ссылки (в HTML-форматах). Для этого необходимо указать атрибут ALT, начинающийся с символа</w:t>
      </w:r>
      <w:r>
        <w:t xml:space="preserve"> </w:t>
      </w:r>
      <w:r>
        <w:rPr>
          <w:rStyle w:val="VerbatimChar"/>
        </w:rPr>
        <w:t xml:space="preserve">!</w:t>
      </w:r>
      <w:r>
        <w:t xml:space="preserve">.</w:t>
      </w:r>
    </w:p>
    <w:p>
      <w:pPr>
        <w:pStyle w:val="BodyText"/>
      </w:pPr>
      <w:r>
        <w:t xml:space="preserve">Пример:</w:t>
      </w:r>
    </w:p>
    <w:p>
      <w:pPr>
        <w:pStyle w:val="SourceCode"/>
      </w:pPr>
      <w:r>
        <w:rPr>
          <w:rStyle w:val="VerbatimChar"/>
        </w:rPr>
        <w:t xml:space="preserve">'&lt;IMG SRC="IRBIS:…." ALT=”!произвольный текст"&gt;'</w:t>
      </w:r>
    </w:p>
    <w:p>
      <w:pPr>
        <w:pStyle w:val="FirstParagraph"/>
      </w:pPr>
      <w:r>
        <w:t xml:space="preserve">Данная возможность, в частности, используется в формате показа обложки (oblo_H.pft) при рассылке по E-mail.</w:t>
      </w:r>
    </w:p>
    <w:p>
      <w:pPr>
        <w:pStyle w:val="BodyText"/>
      </w:pPr>
      <w:r>
        <w:t xml:space="preserve">Подробное описание ссылок</w:t>
      </w:r>
      <w:r>
        <w:t xml:space="preserve"> </w:t>
      </w:r>
      <w:r>
        <w:rPr>
          <w:rStyle w:val="VerbatimChar"/>
        </w:rPr>
        <w:t xml:space="preserve">href="IRBIS:..."</w:t>
      </w:r>
      <w:r>
        <w:t xml:space="preserve">, ресурсов</w:t>
      </w:r>
      <w:r>
        <w:t xml:space="preserve"> </w:t>
      </w:r>
      <w:r>
        <w:rPr>
          <w:rStyle w:val="VerbatimChar"/>
        </w:rPr>
        <w:t xml:space="preserve">src="IRBIS:..."</w:t>
      </w:r>
      <w:r>
        <w:t xml:space="preserve"> </w:t>
      </w:r>
      <w:r>
        <w:t xml:space="preserve">и поведения переходов в АРМах приведено в разделе</w:t>
      </w:r>
      <w:r>
        <w:t xml:space="preserve"> </w:t>
      </w:r>
      <w:hyperlink r:id="rId379">
        <w:r>
          <w:rPr>
            <w:rStyle w:val="Hyperlink"/>
          </w:rPr>
          <w:t xml:space="preserve">ИРБИС-ссылки в HTML-форматах</w:t>
        </w:r>
      </w:hyperlink>
      <w:r>
        <w:t xml:space="preserve">.</w:t>
      </w:r>
    </w:p>
    <w:bookmarkEnd w:id="380"/>
    <w:bookmarkStart w:id="381" w:name="отправка-сообщения-по-e-mail"/>
    <w:p>
      <w:pPr>
        <w:pStyle w:val="Heading3"/>
      </w:pPr>
      <w:r>
        <w:t xml:space="preserve">3. Отправка сообщения по E-mail</w:t>
      </w:r>
    </w:p>
    <w:p>
      <w:pPr>
        <w:pStyle w:val="FirstParagraph"/>
      </w:pPr>
      <w:r>
        <w:t xml:space="preserve">Форматный выход (необходимо сразу отметить - весьма специфический!) ОТПРАВКА СООБЩЕНИЯ ПО E-MAIL</w:t>
      </w:r>
    </w:p>
    <w:p>
      <w:pPr>
        <w:pStyle w:val="SourceCode"/>
      </w:pPr>
      <w:r>
        <w:rPr>
          <w:rStyle w:val="VerbatimChar"/>
        </w:rPr>
        <w:t xml:space="preserve">&amp;uf('@A&lt;e-mial&gt;,&lt;V1&gt;,&lt;V2&gt;,..&lt;Vn&gt;..')</w:t>
      </w:r>
    </w:p>
    <w:p>
      <w:pPr>
        <w:pStyle w:val="FirstParagraph"/>
      </w:pPr>
      <w:r>
        <w:t xml:space="preserve">где:</w:t>
      </w:r>
      <w:r>
        <w:t xml:space="preserve"> </w:t>
      </w:r>
      <w:r>
        <w:t xml:space="preserve">* A - односимвольный суффикс, определяющий параметры INI-файла для форматов ТЕМЫ и ТЕЛА письма</w:t>
      </w:r>
      <w:r>
        <w:t xml:space="preserve"> </w:t>
      </w:r>
      <w:r>
        <w:t xml:space="preserve">* &lt;e-mail&gt; - E-mail получателя</w:t>
      </w:r>
      <w:r>
        <w:t xml:space="preserve"> </w:t>
      </w:r>
      <w:r>
        <w:t xml:space="preserve">* &lt;Vn&gt; - значения модельных полей, используемых при формировании ТЕМЫ и ТЕЛА письма</w:t>
      </w:r>
    </w:p>
    <w:p>
      <w:pPr>
        <w:pStyle w:val="BodyText"/>
      </w:pPr>
      <w:r>
        <w:t xml:space="preserve">Форматный выход возвращает:</w:t>
      </w:r>
      <w:r>
        <w:t xml:space="preserve"> </w:t>
      </w:r>
      <w:r>
        <w:t xml:space="preserve">* пустоту - если сообщение отправлено</w:t>
      </w:r>
      <w:r>
        <w:t xml:space="preserve"> </w:t>
      </w:r>
      <w:r>
        <w:t xml:space="preserve">* строку текста - если при отправке произошла ошибка</w:t>
      </w:r>
    </w:p>
    <w:p>
      <w:pPr>
        <w:pStyle w:val="BodyText"/>
      </w:pPr>
      <w:r>
        <w:t xml:space="preserve">Форматный выход использует параметры в секции [MAIN] INI-файла:</w:t>
      </w:r>
      <w:r>
        <w:t xml:space="preserve"> </w:t>
      </w:r>
      <w:r>
        <w:t xml:space="preserve">* mailsubjectA= - формат (явный или имя формата с предшествующим символом @), используемый для формирования ТЕМЫ письма (в формате могут использоваться модельные поля V1, v2, ….)</w:t>
      </w:r>
      <w:r>
        <w:t xml:space="preserve"> </w:t>
      </w:r>
      <w:r>
        <w:t xml:space="preserve">* mailbodyA= - формат (явный или имя формата с предшествующим символом @), используемый для формирования ТЕЛА письма (в формате могут использоваться модельные поля V1, v2, ….)</w:t>
      </w:r>
    </w:p>
    <w:p>
      <w:pPr>
        <w:pStyle w:val="BodyText"/>
      </w:pPr>
      <w:r>
        <w:t xml:space="preserve">Кроме того, используются прежние параметры для рассылки E-mail:</w:t>
      </w:r>
    </w:p>
    <w:p>
      <w:pPr>
        <w:pStyle w:val="SourceCode"/>
      </w:pPr>
      <w:r>
        <w:rPr>
          <w:rStyle w:val="DataTypeTok"/>
        </w:rPr>
        <w:t xml:space="preserve">MailHost</w:t>
      </w:r>
      <w:r>
        <w:rPr>
          <w:rStyle w:val="OtherTok"/>
        </w:rPr>
        <w:t xml:space="preserve">=</w:t>
      </w:r>
      <w:r>
        <w:br/>
      </w:r>
      <w:r>
        <w:rPr>
          <w:rStyle w:val="DataTypeTok"/>
        </w:rPr>
        <w:t xml:space="preserve">MailPort</w:t>
      </w:r>
      <w:r>
        <w:rPr>
          <w:rStyle w:val="OtherTok"/>
        </w:rPr>
        <w:t xml:space="preserve">=</w:t>
      </w:r>
      <w:r>
        <w:br/>
      </w:r>
      <w:r>
        <w:rPr>
          <w:rStyle w:val="DataTypeTok"/>
        </w:rPr>
        <w:t xml:space="preserve">MailFrom</w:t>
      </w:r>
      <w:r>
        <w:rPr>
          <w:rStyle w:val="OtherTok"/>
        </w:rPr>
        <w:t xml:space="preserve">=</w:t>
      </w:r>
      <w:r>
        <w:br/>
      </w:r>
      <w:r>
        <w:rPr>
          <w:rStyle w:val="DataTypeTok"/>
        </w:rPr>
        <w:t xml:space="preserve">MailFromAdress</w:t>
      </w:r>
      <w:r>
        <w:rPr>
          <w:rStyle w:val="OtherTok"/>
        </w:rPr>
        <w:t xml:space="preserve">=</w:t>
      </w:r>
      <w:r>
        <w:br/>
      </w:r>
      <w:r>
        <w:rPr>
          <w:rStyle w:val="DataTypeTok"/>
        </w:rPr>
        <w:t xml:space="preserve">MailUser</w:t>
      </w:r>
      <w:r>
        <w:rPr>
          <w:rStyle w:val="OtherTok"/>
        </w:rPr>
        <w:t xml:space="preserve">=</w:t>
      </w:r>
      <w:r>
        <w:br/>
      </w:r>
      <w:r>
        <w:rPr>
          <w:rStyle w:val="DataTypeTok"/>
        </w:rPr>
        <w:t xml:space="preserve">MailPassword</w:t>
      </w:r>
      <w:r>
        <w:rPr>
          <w:rStyle w:val="OtherTok"/>
        </w:rPr>
        <w:t xml:space="preserve">=</w:t>
      </w:r>
      <w:r>
        <w:br/>
      </w:r>
      <w:r>
        <w:rPr>
          <w:rStyle w:val="DataTypeTok"/>
        </w:rPr>
        <w:t xml:space="preserve">MailSSL</w:t>
      </w:r>
      <w:r>
        <w:rPr>
          <w:rStyle w:val="OtherTok"/>
        </w:rPr>
        <w:t xml:space="preserve">=</w:t>
      </w:r>
    </w:p>
    <w:bookmarkEnd w:id="381"/>
    <w:bookmarkStart w:id="389" w:name="ирбис-ссылки-в-html-форматах"/>
    <w:p>
      <w:pPr>
        <w:pStyle w:val="Heading3"/>
      </w:pPr>
      <w:r>
        <w:t xml:space="preserve">ИРБИС-ссылки в HTML-форматах</w:t>
      </w:r>
    </w:p>
    <w:p>
      <w:pPr>
        <w:pStyle w:val="FirstParagraph"/>
      </w:pPr>
      <w:r>
        <w:t xml:space="preserve">ИРБИС-ссылка - это ссылка или источник изображения, который начинается с</w:t>
      </w:r>
      <w:r>
        <w:t xml:space="preserve"> </w:t>
      </w:r>
      <w:r>
        <w:rPr>
          <w:rStyle w:val="VerbatimChar"/>
        </w:rPr>
        <w:t xml:space="preserve">IRBIS:</w:t>
      </w:r>
      <w:r>
        <w:t xml:space="preserve"> </w:t>
      </w:r>
      <w:r>
        <w:t xml:space="preserve">и выводится HTML-форматом. При показе результата в ИРБИС 128 обработчик форматов преобразует такие конструкции в рабочие переходы: поиск записей, открытие одного документа, открытие файлового ресурса или вывод графического объекта.</w:t>
      </w:r>
    </w:p>
    <w:p>
      <w:pPr>
        <w:pStyle w:val="CaptionedFigure"/>
      </w:pPr>
      <w:r>
        <w:drawing>
          <wp:inline>
            <wp:extent cx="5334000" cy="2340428"/>
            <wp:effectExtent b="0" l="0" r="0" t="0"/>
            <wp:docPr descr="Рисунок 1 - Пример ИРБИС-ссылки в HTML-результате формата" title="Пример ИРБИС-ссылки в HTML-результате формата" id="383" name="Picture"/>
            <a:graphic>
              <a:graphicData uri="http://schemas.openxmlformats.org/drawingml/2006/picture">
                <pic:pic>
                  <pic:nvPicPr>
                    <pic:cNvPr descr="modules/Help/Help/GeneralDescription/Pft/img/irbis-links-result.png" id="384" name="Picture"/>
                    <pic:cNvPicPr>
                      <a:picLocks noChangeArrowheads="1" noChangeAspect="1"/>
                    </pic:cNvPicPr>
                  </pic:nvPicPr>
                  <pic:blipFill>
                    <a:blip r:embed="rId382"/>
                    <a:stretch>
                      <a:fillRect/>
                    </a:stretch>
                  </pic:blipFill>
                  <pic:spPr bwMode="auto">
                    <a:xfrm>
                      <a:off x="0" y="0"/>
                      <a:ext cx="5334000" cy="2340428"/>
                    </a:xfrm>
                    <a:prstGeom prst="rect">
                      <a:avLst/>
                    </a:prstGeom>
                    <a:noFill/>
                    <a:ln w="9525">
                      <a:noFill/>
                      <a:headEnd/>
                      <a:tailEnd/>
                    </a:ln>
                  </pic:spPr>
                </pic:pic>
              </a:graphicData>
            </a:graphic>
          </wp:inline>
        </w:drawing>
      </w:r>
    </w:p>
    <w:p>
      <w:pPr>
        <w:pStyle w:val="ImageCaption"/>
      </w:pPr>
      <w:r>
        <w:t xml:space="preserve">Рисунок 1 - Пример ИРБИС-ссылки в HTML-результате формата</w:t>
      </w:r>
    </w:p>
    <w:bookmarkStart w:id="385" w:name="где-применяется"/>
    <w:p>
      <w:pPr>
        <w:pStyle w:val="Heading4"/>
      </w:pPr>
      <w:r>
        <w:t xml:space="preserve">1. Где применяется</w:t>
      </w:r>
    </w:p>
    <w:p>
      <w:pPr>
        <w:pStyle w:val="FirstParagraph"/>
      </w:pPr>
      <w:r>
        <w:t xml:space="preserve">ИРБИС-ссылки используют в HTML-форматах показа, когда из одной записи нужно перейти к связанным документам, открыть прикрепленный файл или вывести изображение из ресурсов базы.</w:t>
      </w:r>
    </w:p>
    <w:p>
      <w:pPr>
        <w:pStyle w:val="BodyText"/>
      </w:pPr>
      <w:r>
        <w:t xml:space="preserve">Переход по ссылке выполняется в контексте текущего АРМа:</w:t>
      </w:r>
    </w:p>
    <w:p>
      <w:pPr>
        <w:pStyle w:val="Compact"/>
        <w:numPr>
          <w:ilvl w:val="0"/>
          <w:numId w:val="1034"/>
        </w:numPr>
      </w:pPr>
      <w:r>
        <w:t xml:space="preserve">в АРМе Каталогизатор ссылка с поиском переключает базу, указанную в ссылке, и запускает поиск в списке записей Каталогизатора;</w:t>
      </w:r>
    </w:p>
    <w:p>
      <w:pPr>
        <w:pStyle w:val="Compact"/>
        <w:numPr>
          <w:ilvl w:val="0"/>
          <w:numId w:val="1034"/>
        </w:numPr>
      </w:pPr>
      <w:r>
        <w:t xml:space="preserve">в АРМе Читатель ссылка с поиском открывает результат поиска в читательском интерфейсе;</w:t>
      </w:r>
    </w:p>
    <w:p>
      <w:pPr>
        <w:pStyle w:val="Compact"/>
        <w:numPr>
          <w:ilvl w:val="0"/>
          <w:numId w:val="1034"/>
        </w:numPr>
      </w:pPr>
      <w:r>
        <w:t xml:space="preserve">в других АРМах ссылка не должна принудительно переводить пользователя в АРМ Читатель; ее результат зависит от обработчика, подключенного в текущем интерфейсе;</w:t>
      </w:r>
    </w:p>
    <w:p>
      <w:pPr>
        <w:pStyle w:val="Compact"/>
        <w:numPr>
          <w:ilvl w:val="0"/>
          <w:numId w:val="1034"/>
        </w:numPr>
      </w:pPr>
      <w:r>
        <w:t xml:space="preserve">если переход выполняется из открытого редактора записи, редактор получает событие закрытия перед переходом по ссылке.</w:t>
      </w:r>
    </w:p>
    <w:bookmarkEnd w:id="385"/>
    <w:bookmarkStart w:id="386" w:name="ссылка-в-атрибуте-href"/>
    <w:p>
      <w:pPr>
        <w:pStyle w:val="Heading4"/>
      </w:pPr>
      <w:r>
        <w:t xml:space="preserve">2. Ссылка в атрибуте</w:t>
      </w:r>
      <w:r>
        <w:t xml:space="preserve"> </w:t>
      </w:r>
      <w:r>
        <w:rPr>
          <w:rStyle w:val="VerbatimChar"/>
        </w:rPr>
        <w:t xml:space="preserve">href</w:t>
      </w:r>
    </w:p>
    <w:p>
      <w:pPr>
        <w:pStyle w:val="FirstParagraph"/>
      </w:pPr>
      <w:r>
        <w:t xml:space="preserve">Общий позиционный вид:</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"IRBIS:C21COM,PATH,I21DBN,PFTNAME,KEY"</w:t>
      </w:r>
      <w:r>
        <w:rPr>
          <w:rStyle w:val="DataTypeTok"/>
        </w:rPr>
        <w:t xml:space="preserve">&gt;</w:t>
      </w:r>
      <w:r>
        <w:rPr>
          <w:rStyle w:val="NormalTok"/>
        </w:rPr>
        <w:t xml:space="preserve">Текст ссылки</w:t>
      </w:r>
      <w:r>
        <w:rPr>
          <w:rStyle w:val="DataTypeTok"/>
        </w:rPr>
        <w:t xml:space="preserve">&lt;/</w:t>
      </w:r>
      <w:r>
        <w:rPr>
          <w:rStyle w:val="KeywordTok"/>
        </w:rPr>
        <w:t xml:space="preserve">a</w:t>
      </w:r>
      <w:r>
        <w:rPr>
          <w:rStyle w:val="DataTypeTok"/>
        </w:rPr>
        <w:t xml:space="preserve">&gt;</w:t>
      </w:r>
    </w:p>
    <w:p>
      <w:pPr>
        <w:pStyle w:val="FirstParagraph"/>
      </w:pPr>
      <w:r>
        <w:t xml:space="preserve">Параметры:</w:t>
      </w:r>
    </w:p>
    <w:p>
      <w:pPr>
        <w:pStyle w:val="Compact"/>
        <w:numPr>
          <w:ilvl w:val="0"/>
          <w:numId w:val="1035"/>
        </w:numPr>
      </w:pPr>
      <w:r>
        <w:rPr>
          <w:rStyle w:val="VerbatimChar"/>
        </w:rPr>
        <w:t xml:space="preserve">C21COM</w:t>
      </w:r>
      <w:r>
        <w:t xml:space="preserve"> </w:t>
      </w:r>
      <w:r>
        <w:t xml:space="preserve">- тип команды;</w:t>
      </w:r>
    </w:p>
    <w:p>
      <w:pPr>
        <w:pStyle w:val="Compact"/>
        <w:numPr>
          <w:ilvl w:val="0"/>
          <w:numId w:val="1035"/>
        </w:numPr>
      </w:pPr>
      <w:r>
        <w:rPr>
          <w:rStyle w:val="VerbatimChar"/>
        </w:rPr>
        <w:t xml:space="preserve">PATH</w:t>
      </w:r>
      <w:r>
        <w:t xml:space="preserve"> </w:t>
      </w:r>
      <w:r>
        <w:t xml:space="preserve">- путь к файловому ресурсу или служебный параметр команды;</w:t>
      </w:r>
    </w:p>
    <w:p>
      <w:pPr>
        <w:pStyle w:val="Compact"/>
        <w:numPr>
          <w:ilvl w:val="0"/>
          <w:numId w:val="1035"/>
        </w:numPr>
      </w:pPr>
      <w:r>
        <w:rPr>
          <w:rStyle w:val="VerbatimChar"/>
        </w:rPr>
        <w:t xml:space="preserve">I21DBN</w:t>
      </w:r>
      <w:r>
        <w:t xml:space="preserve"> </w:t>
      </w:r>
      <w:r>
        <w:t xml:space="preserve">- имя базы данных; если не задано, используется текущая база формата;</w:t>
      </w:r>
    </w:p>
    <w:p>
      <w:pPr>
        <w:pStyle w:val="Compact"/>
        <w:numPr>
          <w:ilvl w:val="0"/>
          <w:numId w:val="1035"/>
        </w:numPr>
      </w:pPr>
      <w:r>
        <w:rPr>
          <w:rStyle w:val="VerbatimChar"/>
        </w:rPr>
        <w:t xml:space="preserve">PFTNAME</w:t>
      </w:r>
      <w:r>
        <w:t xml:space="preserve"> </w:t>
      </w:r>
      <w:r>
        <w:t xml:space="preserve">- имя формата или имя файла, в зависимости от команды;</w:t>
      </w:r>
    </w:p>
    <w:p>
      <w:pPr>
        <w:pStyle w:val="Compact"/>
        <w:numPr>
          <w:ilvl w:val="0"/>
          <w:numId w:val="1035"/>
        </w:numPr>
      </w:pPr>
      <w:r>
        <w:rPr>
          <w:rStyle w:val="VerbatimChar"/>
        </w:rPr>
        <w:t xml:space="preserve">KEY</w:t>
      </w:r>
      <w:r>
        <w:t xml:space="preserve"> </w:t>
      </w:r>
      <w:r>
        <w:t xml:space="preserve">- поисковый термин или идентификатор записи.</w:t>
      </w:r>
    </w:p>
    <w:p>
      <w:pPr>
        <w:pStyle w:val="FirstParagraph"/>
      </w:pPr>
      <w:r>
        <w:t xml:space="preserve">Допускается форма с именованными параметрами после</w:t>
      </w:r>
      <w:r>
        <w:t xml:space="preserve"> </w:t>
      </w:r>
      <w:r>
        <w:rPr>
          <w:rStyle w:val="VerbatimChar"/>
        </w:rPr>
        <w:t xml:space="preserve">?</w:t>
      </w:r>
      <w:r>
        <w:t xml:space="preserve">, например:</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"IRBIS:?C21COM=2</w:t>
      </w:r>
      <w:r>
        <w:rPr>
          <w:rStyle w:val="ErrorTok"/>
        </w:rPr>
        <w:t xml:space="preserve">&amp;</w:t>
      </w:r>
      <w:r>
        <w:rPr>
          <w:rStyle w:val="StringTok"/>
        </w:rPr>
        <w:t xml:space="preserve">I21DBN=IBIS</w:t>
      </w:r>
      <w:r>
        <w:rPr>
          <w:rStyle w:val="ErrorTok"/>
        </w:rPr>
        <w:t xml:space="preserve">&amp;</w:t>
      </w:r>
      <w:r>
        <w:rPr>
          <w:rStyle w:val="StringTok"/>
        </w:rPr>
        <w:t xml:space="preserve">KEY=K%3D%D0%BA%D1%80%D0%B0%D0%B5%D0%B2%D0%B5%D0%B4%D0%B5%D0%BD%D0%B8%D0%B5"</w:t>
      </w:r>
      <w:r>
        <w:rPr>
          <w:rStyle w:val="DataTypeTok"/>
        </w:rPr>
        <w:t xml:space="preserve">&gt;</w:t>
      </w:r>
      <w:r>
        <w:rPr>
          <w:rStyle w:val="NormalTok"/>
        </w:rPr>
        <w:t xml:space="preserve">Найти связанные записи</w:t>
      </w:r>
      <w:r>
        <w:rPr>
          <w:rStyle w:val="DataTypeTok"/>
        </w:rPr>
        <w:t xml:space="preserve">&lt;/</w:t>
      </w:r>
      <w:r>
        <w:rPr>
          <w:rStyle w:val="KeywordTok"/>
        </w:rPr>
        <w:t xml:space="preserve">a</w:t>
      </w:r>
      <w:r>
        <w:rPr>
          <w:rStyle w:val="DataTypeTok"/>
        </w:rPr>
        <w:t xml:space="preserve">&gt;</w:t>
      </w:r>
    </w:p>
    <w:p>
      <w:pPr>
        <w:pStyle w:val="FirstParagraph"/>
      </w:pPr>
      <w:r>
        <w:t xml:space="preserve">Для</w:t>
      </w:r>
      <w:r>
        <w:t xml:space="preserve"> </w:t>
      </w:r>
      <w:r>
        <w:rPr>
          <w:rStyle w:val="VerbatimChar"/>
        </w:rPr>
        <w:t xml:space="preserve">href="IRBIS:..."</w:t>
      </w:r>
      <w:r>
        <w:t xml:space="preserve"> </w:t>
      </w:r>
      <w:r>
        <w:t xml:space="preserve">поддерживаются основные команды: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rStyle w:val="VerbatimChar"/>
              </w:rPr>
              <w:t xml:space="preserve">C21COM</w:t>
            </w:r>
          </w:p>
        </w:tc>
        <w:tc>
          <w:tcPr/>
          <w:p>
            <w:pPr>
              <w:pStyle w:val="Compact"/>
            </w:pPr>
            <w:r>
              <w:t xml:space="preserve">Назначение</w:t>
            </w:r>
          </w:p>
        </w:tc>
        <w:tc>
          <w:tcPr/>
          <w:p>
            <w:pPr>
              <w:pStyle w:val="Compact"/>
            </w:pPr>
            <w:r>
              <w:t xml:space="preserve">Результат в ИРБИС 128</w:t>
            </w:r>
          </w:p>
        </w:tc>
      </w:tr>
      <w:tr>
        <w:tc>
          <w:tcPr/>
          <w:p>
            <w:pPr>
              <w:pStyle w:val="Compact"/>
            </w:pPr>
            <w:r>
              <w:rPr>
                <w:rStyle w:val="VerbatimChar"/>
              </w:rPr>
              <w:t xml:space="preserve">0</w:t>
            </w:r>
          </w:p>
        </w:tc>
        <w:tc>
          <w:tcPr/>
          <w:p>
            <w:pPr>
              <w:pStyle w:val="Compact"/>
            </w:pPr>
            <w:r>
              <w:t xml:space="preserve">Внешний URL</w:t>
            </w:r>
          </w:p>
        </w:tc>
        <w:tc>
          <w:tcPr/>
          <w:p>
            <w:pPr>
              <w:pStyle w:val="Compact"/>
            </w:pPr>
            <w:r>
              <w:t xml:space="preserve">Открывается URL, указанный в позиции</w:t>
            </w:r>
            <w:r>
              <w:t xml:space="preserve"> </w:t>
            </w:r>
            <w:r>
              <w:rPr>
                <w:rStyle w:val="VerbatimChar"/>
              </w:rPr>
              <w:t xml:space="preserve">I21DBN</w:t>
            </w:r>
            <w:r>
              <w:t xml:space="preserve">.</w:t>
            </w:r>
          </w:p>
        </w:tc>
      </w:tr>
      <w:tr>
        <w:tc>
          <w:tcPr/>
          <w:p>
            <w:pPr>
              <w:pStyle w:val="Compact"/>
            </w:pPr>
            <w:r>
              <w:rPr>
                <w:rStyle w:val="VerbatimChar"/>
              </w:rPr>
              <w:t xml:space="preserve">1</w:t>
            </w:r>
          </w:p>
        </w:tc>
        <w:tc>
          <w:tcPr/>
          <w:p>
            <w:pPr>
              <w:pStyle w:val="Compact"/>
            </w:pPr>
            <w:r>
              <w:t xml:space="preserve">Один документ</w:t>
            </w:r>
          </w:p>
        </w:tc>
        <w:tc>
          <w:tcPr/>
          <w:p>
            <w:pPr>
              <w:pStyle w:val="Compact"/>
            </w:pPr>
            <w:r>
              <w:t xml:space="preserve">Открывается форматированный документ через</w:t>
            </w:r>
            <w:r>
              <w:t xml:space="preserve"> </w:t>
            </w:r>
            <w:r>
              <w:rPr>
                <w:rStyle w:val="VerbatimChar"/>
              </w:rPr>
              <w:t xml:space="preserve">WIrbis/Format</w:t>
            </w:r>
            <w:r>
              <w:t xml:space="preserve">;</w:t>
            </w:r>
            <w:r>
              <w:t xml:space="preserve"> </w:t>
            </w:r>
            <w:r>
              <w:rPr>
                <w:rStyle w:val="VerbatimChar"/>
              </w:rPr>
              <w:t xml:space="preserve">KEY</w:t>
            </w:r>
            <w:r>
              <w:t xml:space="preserve"> </w:t>
            </w:r>
            <w:r>
              <w:t xml:space="preserve">должен содержать MFN в виде</w:t>
            </w:r>
            <w:r>
              <w:t xml:space="preserve"> </w:t>
            </w:r>
            <w:r>
              <w:rPr>
                <w:rStyle w:val="VerbatimChar"/>
              </w:rPr>
              <w:t xml:space="preserve">@&lt;mfn&gt;</w:t>
            </w:r>
            <w:r>
              <w:t xml:space="preserve">.</w:t>
            </w:r>
          </w:p>
        </w:tc>
      </w:tr>
      <w:tr>
        <w:tc>
          <w:tcPr/>
          <w:p>
            <w:pPr>
              <w:pStyle w:val="Compact"/>
            </w:pPr>
            <w:r>
              <w:rPr>
                <w:rStyle w:val="VerbatimChar"/>
              </w:rPr>
              <w:t xml:space="preserve">2</w:t>
            </w:r>
          </w:p>
        </w:tc>
        <w:tc>
          <w:tcPr/>
          <w:p>
            <w:pPr>
              <w:pStyle w:val="Compact"/>
            </w:pPr>
            <w:r>
              <w:t xml:space="preserve">Группа документов по поиску</w:t>
            </w:r>
          </w:p>
        </w:tc>
        <w:tc>
          <w:tcPr/>
          <w:p>
            <w:pPr>
              <w:pStyle w:val="Compact"/>
            </w:pPr>
            <w:r>
              <w:t xml:space="preserve">В текущий АРМ передается событие поиска с базой</w:t>
            </w:r>
            <w:r>
              <w:t xml:space="preserve"> </w:t>
            </w:r>
            <w:r>
              <w:rPr>
                <w:rStyle w:val="VerbatimChar"/>
              </w:rPr>
              <w:t xml:space="preserve">I21DBN</w:t>
            </w:r>
            <w:r>
              <w:t xml:space="preserve"> </w:t>
            </w:r>
            <w:r>
              <w:t xml:space="preserve">и выражением</w:t>
            </w:r>
            <w:r>
              <w:t xml:space="preserve"> </w:t>
            </w:r>
            <w:r>
              <w:rPr>
                <w:rStyle w:val="VerbatimChar"/>
              </w:rPr>
              <w:t xml:space="preserve">KEY</w:t>
            </w:r>
            <w:r>
              <w:t xml:space="preserve">.</w:t>
            </w:r>
          </w:p>
        </w:tc>
      </w:tr>
      <w:tr>
        <w:tc>
          <w:tcPr/>
          <w:p>
            <w:pPr>
              <w:pStyle w:val="Compact"/>
            </w:pPr>
            <w:r>
              <w:rPr>
                <w:rStyle w:val="VerbatimChar"/>
              </w:rPr>
              <w:t xml:space="preserve">3</w:t>
            </w:r>
          </w:p>
        </w:tc>
        <w:tc>
          <w:tcPr/>
          <w:p>
            <w:pPr>
              <w:pStyle w:val="Compact"/>
            </w:pPr>
            <w:r>
              <w:t xml:space="preserve">Файловый ресурс</w:t>
            </w:r>
          </w:p>
        </w:tc>
        <w:tc>
          <w:tcPr/>
          <w:p>
            <w:pPr>
              <w:pStyle w:val="Compact"/>
            </w:pPr>
            <w:r>
              <w:t xml:space="preserve">Открывается ресурс из 951A или внутренний ресурс 953 при</w:t>
            </w:r>
            <w:r>
              <w:t xml:space="preserve"> </w:t>
            </w:r>
            <w:r>
              <w:rPr>
                <w:rStyle w:val="VerbatimChar"/>
              </w:rPr>
              <w:t xml:space="preserve">PATH=12</w:t>
            </w:r>
            <w:r>
              <w:t xml:space="preserve">.</w:t>
            </w:r>
          </w:p>
        </w:tc>
      </w:tr>
    </w:tbl>
    <w:p>
      <w:pPr>
        <w:pStyle w:val="BodyText"/>
      </w:pPr>
      <w:r>
        <w:t xml:space="preserve">Пример ссылки для поиска записей в базе</w:t>
      </w:r>
      <w:r>
        <w:t xml:space="preserve"> </w:t>
      </w:r>
      <w:r>
        <w:rPr>
          <w:rStyle w:val="VerbatimChar"/>
        </w:rPr>
        <w:t xml:space="preserve">IBIS</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"IRBIS:2,,IBIS,,K=краеведение"</w:t>
      </w:r>
      <w:r>
        <w:rPr>
          <w:rStyle w:val="DataTypeTok"/>
        </w:rPr>
        <w:t xml:space="preserve">&gt;</w:t>
      </w:r>
      <w:r>
        <w:rPr>
          <w:rStyle w:val="NormalTok"/>
        </w:rPr>
        <w:t xml:space="preserve">Найти документы по теме</w:t>
      </w:r>
      <w:r>
        <w:rPr>
          <w:rStyle w:val="DataTypeTok"/>
        </w:rPr>
        <w:t xml:space="preserve">&lt;/</w:t>
      </w:r>
      <w:r>
        <w:rPr>
          <w:rStyle w:val="KeywordTok"/>
        </w:rPr>
        <w:t xml:space="preserve">a</w:t>
      </w:r>
      <w:r>
        <w:rPr>
          <w:rStyle w:val="DataTypeTok"/>
        </w:rPr>
        <w:t xml:space="preserve">&gt;</w:t>
      </w:r>
    </w:p>
    <w:p>
      <w:pPr>
        <w:pStyle w:val="FirstParagraph"/>
      </w:pPr>
      <w:r>
        <w:t xml:space="preserve">Для перехода к одному документу укажите MFN через</w:t>
      </w:r>
      <w:r>
        <w:t xml:space="preserve"> </w:t>
      </w:r>
      <w:r>
        <w:rPr>
          <w:rStyle w:val="VerbatimChar"/>
        </w:rPr>
        <w:t xml:space="preserve">@</w:t>
      </w:r>
      <w:r>
        <w:t xml:space="preserve">:</w:t>
      </w:r>
    </w:p>
    <w:p>
      <w:pPr>
        <w:pStyle w:val="SourceCode"/>
      </w:pPr>
      <w:r>
        <w:rPr>
          <w:rStyle w:val="DataTypeTok"/>
        </w:rPr>
        <w:t xml:space="preserve">&lt;</w:t>
      </w:r>
      <w:r>
        <w:rPr>
          <w:rStyle w:val="KeywordTok"/>
        </w:rPr>
        <w:t xml:space="preserve">a</w:t>
      </w:r>
      <w:r>
        <w:rPr>
          <w:rStyle w:val="OtherTok"/>
        </w:rPr>
        <w:t xml:space="preserve"> href</w:t>
      </w:r>
      <w:r>
        <w:rPr>
          <w:rStyle w:val="OperatorTok"/>
        </w:rPr>
        <w:t xml:space="preserve">=</w:t>
      </w:r>
      <w:r>
        <w:rPr>
          <w:rStyle w:val="StringTok"/>
        </w:rPr>
        <w:t xml:space="preserve">"IRBIS:1,,IBIS,brief,@125"</w:t>
      </w:r>
      <w:r>
        <w:rPr>
          <w:rStyle w:val="DataTypeTok"/>
        </w:rPr>
        <w:t xml:space="preserve">&gt;</w:t>
      </w:r>
      <w:r>
        <w:rPr>
          <w:rStyle w:val="NormalTok"/>
        </w:rPr>
        <w:t xml:space="preserve">Открыть запись</w:t>
      </w:r>
      <w:r>
        <w:rPr>
          <w:rStyle w:val="DataTypeTok"/>
        </w:rPr>
        <w:t xml:space="preserve">&lt;/</w:t>
      </w:r>
      <w:r>
        <w:rPr>
          <w:rStyle w:val="KeywordTok"/>
        </w:rPr>
        <w:t xml:space="preserve">a</w:t>
      </w:r>
      <w:r>
        <w:rPr>
          <w:rStyle w:val="DataTypeTok"/>
        </w:rPr>
        <w:t xml:space="preserve">&gt;</w:t>
      </w:r>
    </w:p>
    <w:bookmarkEnd w:id="386"/>
    <w:bookmarkStart w:id="387" w:name="ссылка-в-атрибуте-src"/>
    <w:p>
      <w:pPr>
        <w:pStyle w:val="Heading4"/>
      </w:pPr>
      <w:r>
        <w:t xml:space="preserve">3. Ссылка в атрибуте</w:t>
      </w:r>
      <w:r>
        <w:t xml:space="preserve"> </w:t>
      </w:r>
      <w:r>
        <w:rPr>
          <w:rStyle w:val="VerbatimChar"/>
        </w:rPr>
        <w:t xml:space="preserve">src</w:t>
      </w:r>
    </w:p>
    <w:p>
      <w:pPr>
        <w:pStyle w:val="FirstParagraph"/>
      </w:pPr>
      <w:r>
        <w:t xml:space="preserve">Атрибут</w:t>
      </w:r>
      <w:r>
        <w:t xml:space="preserve"> </w:t>
      </w:r>
      <w:r>
        <w:rPr>
          <w:rStyle w:val="VerbatimChar"/>
        </w:rPr>
        <w:t xml:space="preserve">src="IRBIS:..."</w:t>
      </w:r>
      <w:r>
        <w:t xml:space="preserve"> </w:t>
      </w:r>
      <w:r>
        <w:t xml:space="preserve">применяют для вывода графических и файловых ресурсов внутри HTML-страницы.</w:t>
      </w:r>
    </w:p>
    <w:p>
      <w:pPr>
        <w:pStyle w:val="BodyText"/>
      </w:pPr>
      <w:r>
        <w:t xml:space="preserve">Позиционный вид для ресурса:</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"IRBIS:PATH,I21DBN,PFTNAME,KEY"</w:t>
      </w:r>
      <w:r>
        <w:rPr>
          <w:rStyle w:val="OtherTok"/>
        </w:rPr>
        <w:t xml:space="preserve"> alt</w:t>
      </w:r>
      <w:r>
        <w:rPr>
          <w:rStyle w:val="OperatorTok"/>
        </w:rPr>
        <w:t xml:space="preserve">=</w:t>
      </w:r>
      <w:r>
        <w:rPr>
          <w:rStyle w:val="StringTok"/>
        </w:rPr>
        <w:t xml:space="preserve">"Обложка"</w:t>
      </w:r>
      <w:r>
        <w:rPr>
          <w:rStyle w:val="DataTypeTok"/>
        </w:rPr>
        <w:t xml:space="preserve">&gt;</w:t>
      </w:r>
    </w:p>
    <w:p>
      <w:pPr>
        <w:pStyle w:val="FirstParagraph"/>
      </w:pPr>
      <w:r>
        <w:t xml:space="preserve">Если</w:t>
      </w:r>
      <w:r>
        <w:t xml:space="preserve"> </w:t>
      </w:r>
      <w:r>
        <w:rPr>
          <w:rStyle w:val="VerbatimChar"/>
        </w:rPr>
        <w:t xml:space="preserve">PATH=12</w:t>
      </w:r>
      <w:r>
        <w:t xml:space="preserve">, ресурс берется из внутреннего двоичного ресурса записи:</w:t>
      </w:r>
      <w:r>
        <w:t xml:space="preserve"> </w:t>
      </w:r>
      <w:r>
        <w:rPr>
          <w:rStyle w:val="VerbatimChar"/>
        </w:rPr>
        <w:t xml:space="preserve">PFTNAME</w:t>
      </w:r>
      <w:r>
        <w:t xml:space="preserve"> </w:t>
      </w:r>
      <w:r>
        <w:t xml:space="preserve">используется как MFN,</w:t>
      </w:r>
      <w:r>
        <w:t xml:space="preserve"> </w:t>
      </w:r>
      <w:r>
        <w:rPr>
          <w:rStyle w:val="VerbatimChar"/>
        </w:rPr>
        <w:t xml:space="preserve">KEY</w:t>
      </w:r>
      <w:r>
        <w:t xml:space="preserve"> </w:t>
      </w:r>
      <w:r>
        <w:t xml:space="preserve">- как номер повторения. Для остальных путей открывается файл из ресурса 951A, где</w:t>
      </w:r>
      <w:r>
        <w:t xml:space="preserve"> </w:t>
      </w:r>
      <w:r>
        <w:rPr>
          <w:rStyle w:val="VerbatimChar"/>
        </w:rPr>
        <w:t xml:space="preserve">PFTNAME</w:t>
      </w:r>
      <w:r>
        <w:t xml:space="preserve"> </w:t>
      </w:r>
      <w:r>
        <w:t xml:space="preserve">используется как имя файла.</w:t>
      </w:r>
    </w:p>
    <w:p>
      <w:pPr>
        <w:pStyle w:val="BodyText"/>
      </w:pPr>
      <w:r>
        <w:t xml:space="preserve">Поддерживается и короткий вариант по штрихкоду:</w:t>
      </w:r>
    </w:p>
    <w:p>
      <w:pPr>
        <w:pStyle w:val="SourceCode"/>
      </w:pPr>
      <w:r>
        <w:rPr>
          <w:rStyle w:val="DataTypeTok"/>
        </w:rPr>
        <w:t xml:space="preserve">&lt;</w:t>
      </w:r>
      <w:r>
        <w:rPr>
          <w:rStyle w:val="KeywordTok"/>
        </w:rPr>
        <w:t xml:space="preserve">img</w:t>
      </w:r>
      <w:r>
        <w:rPr>
          <w:rStyle w:val="OtherTok"/>
        </w:rPr>
        <w:t xml:space="preserve"> src</w:t>
      </w:r>
      <w:r>
        <w:rPr>
          <w:rStyle w:val="OperatorTok"/>
        </w:rPr>
        <w:t xml:space="preserve">=</w:t>
      </w:r>
      <w:r>
        <w:rPr>
          <w:rStyle w:val="StringTok"/>
        </w:rPr>
        <w:t xml:space="preserve">"IRBIS:!!123456!!"</w:t>
      </w:r>
      <w:r>
        <w:rPr>
          <w:rStyle w:val="OtherTok"/>
        </w:rPr>
        <w:t xml:space="preserve"> alt</w:t>
      </w:r>
      <w:r>
        <w:rPr>
          <w:rStyle w:val="OperatorTok"/>
        </w:rPr>
        <w:t xml:space="preserve">=</w:t>
      </w:r>
      <w:r>
        <w:rPr>
          <w:rStyle w:val="StringTok"/>
        </w:rPr>
        <w:t xml:space="preserve">"Фото читателя"</w:t>
      </w:r>
      <w:r>
        <w:rPr>
          <w:rStyle w:val="DataTypeTok"/>
        </w:rPr>
        <w:t xml:space="preserve">&gt;</w:t>
      </w:r>
    </w:p>
    <w:bookmarkEnd w:id="387"/>
    <w:bookmarkStart w:id="388" w:name="практические-правила"/>
    <w:p>
      <w:pPr>
        <w:pStyle w:val="Heading4"/>
      </w:pPr>
      <w:r>
        <w:t xml:space="preserve">4. Практические правила</w:t>
      </w:r>
    </w:p>
    <w:p>
      <w:pPr>
        <w:pStyle w:val="FirstParagraph"/>
      </w:pPr>
      <w:r>
        <w:t xml:space="preserve">Задавайте в ссылке базу</w:t>
      </w:r>
      <w:r>
        <w:t xml:space="preserve"> </w:t>
      </w:r>
      <w:r>
        <w:rPr>
          <w:rStyle w:val="VerbatimChar"/>
        </w:rPr>
        <w:t xml:space="preserve">I21DBN</w:t>
      </w:r>
      <w:r>
        <w:t xml:space="preserve">, если переход должен выполняться не в текущей базе формата. Для поисковых ссылок используйте то же поисковое выражение, которое пользователь мог бы выполнить вручную в соответствующем АРМе.</w:t>
      </w:r>
    </w:p>
    <w:p>
      <w:pPr>
        <w:pStyle w:val="BodyText"/>
      </w:pPr>
      <w:r>
        <w:t xml:space="preserve">Не подставляйте в</w:t>
      </w:r>
      <w:r>
        <w:t xml:space="preserve"> </w:t>
      </w:r>
      <w:r>
        <w:rPr>
          <w:rStyle w:val="VerbatimChar"/>
        </w:rPr>
        <w:t xml:space="preserve">KEY</w:t>
      </w:r>
      <w:r>
        <w:t xml:space="preserve"> </w:t>
      </w:r>
      <w:r>
        <w:t xml:space="preserve">произвольный текст без префикса поиска, если в целевом АРМе ожидается выражение вида</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I=...</w:t>
      </w:r>
      <w:r>
        <w:t xml:space="preserve"> </w:t>
      </w:r>
      <w:r>
        <w:t xml:space="preserve">или другое допустимое условие. Для перехода к одному документу используйте</w:t>
      </w:r>
      <w:r>
        <w:t xml:space="preserve"> </w:t>
      </w:r>
      <w:r>
        <w:rPr>
          <w:rStyle w:val="VerbatimChar"/>
        </w:rPr>
        <w:t xml:space="preserve">C21COM=1</w:t>
      </w:r>
      <w:r>
        <w:t xml:space="preserve"> </w:t>
      </w:r>
      <w:r>
        <w:t xml:space="preserve">и</w:t>
      </w:r>
      <w:r>
        <w:t xml:space="preserve"> </w:t>
      </w:r>
      <w:r>
        <w:rPr>
          <w:rStyle w:val="VerbatimChar"/>
        </w:rPr>
        <w:t xml:space="preserve">KEY=@&lt;mfn&gt;</w:t>
      </w:r>
      <w:r>
        <w:t xml:space="preserve">, а не поисковую команду.</w:t>
      </w:r>
    </w:p>
    <w:p>
      <w:pPr>
        <w:pStyle w:val="BodyText"/>
      </w:pPr>
      <w:r>
        <w:t xml:space="preserve">Если ссылка должна открывать файл, проверьте, где хранится ресурс: в поле 951A или во внутреннем ресурсе 953. Для 953 нужен</w:t>
      </w:r>
      <w:r>
        <w:t xml:space="preserve"> </w:t>
      </w:r>
      <w:r>
        <w:rPr>
          <w:rStyle w:val="VerbatimChar"/>
        </w:rPr>
        <w:t xml:space="preserve">PATH=12</w:t>
      </w:r>
      <w:r>
        <w:t xml:space="preserve">; для 951A указывают путь ресурса и имя файла.</w:t>
      </w:r>
    </w:p>
    <w:p>
      <w:pPr>
        <w:pStyle w:val="BodyText"/>
      </w:pPr>
      <w:r>
        <w:t xml:space="preserve">Перед передачей формата пользователям проверьте его в том АРМе, где он будет использоваться. Одна и та же ИРБИС-ссылка может запускать поиск в Каталогизаторе или в АРМе Читатель, потому что обработчик перехода выбирается текущим интерфейсом.</w:t>
      </w:r>
    </w:p>
    <w:bookmarkEnd w:id="388"/>
    <w:bookmarkEnd w:id="389"/>
    <w:bookmarkEnd w:id="390"/>
    <w:bookmarkEnd w:id="39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82" Target="media/rId382.png" /><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_rels/footnotes.xml.rels><?xml version="1.0" encoding="UTF-8"?><Relationships xmlns="http://schemas.openxmlformats.org/package/2006/relationships"><Relationship Type="http://schemas.openxmlformats.org/officeDocument/2006/relationships/hyperlink" Id="rId356" Target="?id=Help/Show&amp;m=Help/Help/GeneralDescription/Pft/DictionaryTransfer" TargetMode="External" /><Relationship Type="http://schemas.openxmlformats.org/officeDocument/2006/relationships/hyperlink" Id="rId369" Target="?id=Help/Show&amp;m=Help/Help/GeneralDescription/Pft/FormatErrors" TargetMode="External" /><Relationship Type="http://schemas.openxmlformats.org/officeDocument/2006/relationships/hyperlink" Id="rId367" Target="?id=Help/Show&amp;m=Help/Help/GeneralDescription/Pft/FormatList" TargetMode="External" /><Relationship Type="http://schemas.openxmlformats.org/officeDocument/2006/relationships/hyperlink" Id="rId40" Target="?id=Help/Show&amp;m=Help/Help/GeneralDescription/Pft/Functions/l" TargetMode="External" /><Relationship Type="http://schemas.openxmlformats.org/officeDocument/2006/relationships/hyperlink" Id="rId35" Target="?id=Help/Show&amp;m=Help/Help/GeneralDescription/Pft/Functions/ref" TargetMode="External" /><Relationship Type="http://schemas.openxmlformats.org/officeDocument/2006/relationships/hyperlink" Id="rId49" Target="?id=Help/Show&amp;m=Help/Help/GeneralDescription/Pft/Functions/uf/a" TargetMode="External" /><Relationship Type="http://schemas.openxmlformats.org/officeDocument/2006/relationships/hyperlink" Id="rId352" Target="?id=Help/Show&amp;m=Help/Help/GeneralDescription/Pft/Functions/uf/plusI" TargetMode="External" /><Relationship Type="http://schemas.openxmlformats.org/officeDocument/2006/relationships/hyperlink" Id="rId30" Target="?id=Help/Show&amp;m=Help/Help/GeneralDescription/Pft/Functions/val" TargetMode="External" /><Relationship Type="http://schemas.openxmlformats.org/officeDocument/2006/relationships/hyperlink" Id="rId351" Target="?id=Help/Show&amp;m=Help/Help/GeneralDescription/Pft/HtmlViewScale" TargetMode="External" /><Relationship Type="http://schemas.openxmlformats.org/officeDocument/2006/relationships/hyperlink" Id="rId379" Target="?id=Help/Show&amp;m=Help/Help/GeneralDescription/Pft/IrbisLinks" TargetMode="External" /><Relationship Type="http://schemas.openxmlformats.org/officeDocument/2006/relationships/hyperlink" Id="rId36" Target="?id=Help/Show&amp;m=Help/Help/GeneralDescription/Pft/OutputModeCommands" TargetMode="External" /><Relationship Type="http://schemas.openxmlformats.org/officeDocument/2006/relationships/hyperlink" Id="rId366" Target="?id=Help/Show&amp;m=Help/Help/GeneralDescription/Pft/RtfAndHtml" TargetMode="External" /><Relationship Type="http://schemas.openxmlformats.org/officeDocument/2006/relationships/hyperlink" Id="rId359" Target="?id=Help/Show&amp;m=Help/Help/GeneralDescription/Pft/VariableTa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Язык форматирования ИРБИС</dc:title>
  <dc:creator/>
  <cp:keywords/>
  <dcterms:created xsi:type="dcterms:W3CDTF">2026-10-28T01:25:08Z</dcterms:created>
  <dcterms:modified xsi:type="dcterms:W3CDTF">2026-10-28T01:25:08Z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