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парсера импортируемых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парсера-импортируемых-файлов"/>
    <w:p>
      <w:pPr>
        <w:pStyle w:val="Heading1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9" w:name="что-должен-вернуть-парсер"/>
    <w:p>
      <w:pPr>
        <w:pStyle w:val="Heading2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9"/>
    <w:bookmarkStart w:id="10" w:name="связь-с-функцией-слияния"/>
    <w:p>
      <w:pPr>
        <w:pStyle w:val="Heading2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0"/>
    <w:bookmarkStart w:id="11" w:name="практические-правила"/>
    <w:p>
      <w:pPr>
        <w:pStyle w:val="Heading2"/>
      </w:pPr>
      <w:r>
        <w:t xml:space="preserve">3. Практические правила</w:t>
      </w:r>
    </w:p>
    <w:p>
      <w:pPr>
        <w:pStyle w:val="Compact"/>
        <w:numPr>
          <w:ilvl w:val="0"/>
          <w:numId w:val="1003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3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3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3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парсера импортируемых файлов</dc:title>
  <dc:creator/>
  <cp:keywords/>
  <dcterms:created xsi:type="dcterms:W3CDTF">2026-11-03T15:25:22Z</dcterms:created>
  <dcterms:modified xsi:type="dcterms:W3CDTF">2026-11-03T15:25:22Z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