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WorkflowScreen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назначение-workflowscreen"/>
    <w:p>
      <w:pPr>
        <w:pStyle w:val="Heading1"/>
      </w:pPr>
      <w:r>
        <w:t xml:space="preserve">Назначение WorkflowScreen</w:t>
      </w:r>
    </w:p>
    <w:p>
      <w:pPr>
        <w:pStyle w:val="FirstParagraph"/>
      </w:pPr>
      <w:r>
        <w:rPr>
          <w:rStyle w:val="VerbatimChar"/>
        </w:rPr>
        <w:t xml:space="preserve">WorkflowScreen</w:t>
      </w:r>
      <w:r>
        <w:t xml:space="preserve"> </w:t>
      </w:r>
      <w:r>
        <w:t xml:space="preserve">связывает workflow-операцию со схемой he3. Если экран указан, пользователь перед выполнением действия получает форму редактирования текущей записи.</w:t>
      </w:r>
    </w:p>
    <w:p>
      <w:pPr>
        <w:pStyle w:val="BodyText"/>
      </w:pPr>
      <w:r>
        <w:t xml:space="preserve">Экран может использовать полный рабочий лист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 рабочий лист подполей</w:t>
      </w:r>
      <w:r>
        <w:t xml:space="preserve"> </w:t>
      </w:r>
      <w:r>
        <w:rPr>
          <w:rStyle w:val="VerbatimChar"/>
        </w:rPr>
        <w:t xml:space="preserve">.wss</w:t>
      </w:r>
      <w:r>
        <w:t xml:space="preserve">. WSS-экран применяется к указанному полю записи и меняет только подполя, описанные в WSS, не стирая остальные подполя этого поля.</w:t>
      </w:r>
    </w:p>
    <w:p>
      <w:pPr>
        <w:pStyle w:val="BodyText"/>
      </w:pPr>
      <w:r>
        <w:t xml:space="preserve">Экран хранит область применения, версию, тип схемы, поле записи для WSS, признак разрешения публичной формы, список поддерживаемых публичных методов ввода и TTL черновика. Для пользовательских страниц можно строить HTML-форму по той же схеме, не показывая полный редактор</w:t>
      </w:r>
      <w:r>
        <w:t xml:space="preserve"> </w:t>
      </w:r>
      <w:r>
        <w:rPr>
          <w:rStyle w:val="VerbatimChar"/>
        </w:rPr>
        <w:t xml:space="preserve">he3</w:t>
      </w:r>
      <w:r>
        <w:t xml:space="preserve">. Перед выводом и применением данных модуль проверяет, что все редактируемые поля используют поддерживаемые методы ввода.</w:t>
      </w:r>
    </w:p>
    <w:p>
      <w:pPr>
        <w:pStyle w:val="BodyText"/>
      </w:pPr>
      <w:r>
        <w:t xml:space="preserve">Для публичных сценариев используется запись</w:t>
      </w:r>
      <w:r>
        <w:t xml:space="preserve"> </w:t>
      </w:r>
      <w:r>
        <w:rPr>
          <w:rStyle w:val="VerbatimChar"/>
        </w:rPr>
        <w:t xml:space="preserve">WORKFLOWSCREENDRAFT</w:t>
      </w:r>
      <w:r>
        <w:t xml:space="preserve">: она связывает payload формы с ключом и версией экрана, проектом, типом записи, пользователем или сессией и trace id. Перед сохранением данные повторно валидируются по текущему экрану.</w:t>
      </w:r>
    </w:p>
    <w:p>
      <w:pPr>
        <w:pStyle w:val="BodyText"/>
      </w:pPr>
      <w:r>
        <w:t xml:space="preserve">Подробное описание полей и правил использования WS/WSS находится в разделе:</w:t>
      </w:r>
    </w:p>
    <w:bookmarkStart w:id="14" w:name="workflowscreen"/>
    <w:p>
      <w:pPr>
        <w:pStyle w:val="Heading2"/>
      </w:pPr>
      <w:r>
        <w:t xml:space="preserve">WorkflowScreen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 </w:t>
      </w:r>
      <w:r>
        <w:t xml:space="preserve">хранит описания экранов ввода для workflow-переходов и операций над записью. Экран указывает схему he3, которую нужно открыть для редактирования текущей записи: полный рабочий лист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 рабочий лист подполей</w:t>
      </w:r>
      <w:r>
        <w:t xml:space="preserve"> </w:t>
      </w:r>
      <w:r>
        <w:rPr>
          <w:rStyle w:val="VerbatimChar"/>
        </w:rPr>
        <w:t xml:space="preserve">.wss</w:t>
      </w:r>
      <w:r>
        <w:t xml:space="preserve">.</w:t>
      </w:r>
    </w:p>
    <w:bookmarkStart w:id="9" w:name="запись-workflowscreen"/>
    <w:p>
      <w:pPr>
        <w:pStyle w:val="Heading3"/>
      </w:pPr>
      <w:r>
        <w:t xml:space="preserve">1. Запись WORKFLOWSCREEN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WORKFLOWSCREEN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имя схемы he3 без расширения:</w:t>
            </w:r>
            <w:r>
              <w:t xml:space="preserve"> </w:t>
            </w:r>
            <w:r>
              <w:rPr>
                <w:rStyle w:val="VerbatimChar"/>
              </w:rPr>
              <w:t xml:space="preserve">.ws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.wss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область применения:</w:t>
            </w:r>
            <w:r>
              <w:t xml:space="preserve"> </w:t>
            </w:r>
            <w:r>
              <w:rPr>
                <w:rStyle w:val="VerbatimChar"/>
              </w:rPr>
              <w:t xml:space="preserve">transition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create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edit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view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public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internal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any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версия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разрешение публичного renderer-а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t xml:space="preserve">список методов ввода, разрешенных публичной форме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TTL черновика формы в секундах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тип схемы:</w:t>
            </w:r>
            <w:r>
              <w:t xml:space="preserve"> </w:t>
            </w:r>
            <w:r>
              <w:rPr>
                <w:rStyle w:val="VerbatimChar"/>
              </w:rPr>
              <w:t xml:space="preserve">ws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wss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поле записи, к которому применяется WSS-схема</w:t>
            </w:r>
          </w:p>
        </w:tc>
      </w:tr>
    </w:tbl>
    <w:bookmarkEnd w:id="9"/>
    <w:bookmarkStart w:id="10" w:name="схема-he3"/>
    <w:p>
      <w:pPr>
        <w:pStyle w:val="Heading3"/>
      </w:pPr>
      <w:r>
        <w:t xml:space="preserve">2. Схема he3</w:t>
      </w:r>
    </w:p>
    <w:p>
      <w:pPr>
        <w:pStyle w:val="FirstParagraph"/>
      </w:pPr>
      <w:r>
        <w:t xml:space="preserve">Для полного экрана используется тип</w:t>
      </w:r>
      <w:r>
        <w:t xml:space="preserve"> </w:t>
      </w:r>
      <w:r>
        <w:rPr>
          <w:rStyle w:val="VerbatimChar"/>
        </w:rPr>
        <w:t xml:space="preserve">ws</w:t>
      </w:r>
      <w:r>
        <w:t xml:space="preserve">: в поле</w:t>
      </w:r>
      <w:r>
        <w:t xml:space="preserve"> </w:t>
      </w:r>
      <w:r>
        <w:rPr>
          <w:rStyle w:val="VerbatimChar"/>
        </w:rPr>
        <w:t xml:space="preserve">1^E</w:t>
      </w:r>
      <w:r>
        <w:t xml:space="preserve"> </w:t>
      </w:r>
      <w:r>
        <w:t xml:space="preserve">указывается имя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без пути. Такой экран редактирует набор полей записи, описанный рабочим листом.</w:t>
      </w:r>
    </w:p>
    <w:p>
      <w:pPr>
        <w:pStyle w:val="BodyText"/>
      </w:pPr>
      <w:r>
        <w:t xml:space="preserve">Для частичного экрана используется тип</w:t>
      </w:r>
      <w:r>
        <w:t xml:space="preserve"> </w:t>
      </w:r>
      <w:r>
        <w:rPr>
          <w:rStyle w:val="VerbatimChar"/>
        </w:rPr>
        <w:t xml:space="preserve">wss</w:t>
      </w:r>
      <w:r>
        <w:t xml:space="preserve">: в поле</w:t>
      </w:r>
      <w:r>
        <w:t xml:space="preserve"> </w:t>
      </w:r>
      <w:r>
        <w:rPr>
          <w:rStyle w:val="VerbatimChar"/>
        </w:rPr>
        <w:t xml:space="preserve">1^E</w:t>
      </w:r>
      <w:r>
        <w:t xml:space="preserve"> </w:t>
      </w:r>
      <w:r>
        <w:t xml:space="preserve">указывается имя</w:t>
      </w:r>
      <w:r>
        <w:t xml:space="preserve"> </w:t>
      </w:r>
      <w:r>
        <w:rPr>
          <w:rStyle w:val="VerbatimChar"/>
        </w:rPr>
        <w:t xml:space="preserve">.wss</w:t>
      </w:r>
      <w:r>
        <w:t xml:space="preserve">, а в</w:t>
      </w:r>
      <w:r>
        <w:t xml:space="preserve"> </w:t>
      </w:r>
      <w:r>
        <w:rPr>
          <w:rStyle w:val="VerbatimChar"/>
        </w:rPr>
        <w:t xml:space="preserve">1^M</w:t>
      </w:r>
      <w:r>
        <w:t xml:space="preserve"> </w:t>
      </w:r>
      <w:r>
        <w:t xml:space="preserve">- номер поля записи. Такой экран показывает только подполя из WSS и при сохранении меняет только эти подполя, сохраняя остальные подполя поля.</w:t>
      </w:r>
    </w:p>
    <w:p>
      <w:pPr>
        <w:pStyle w:val="BodyText"/>
      </w:pPr>
      <w:r>
        <w:t xml:space="preserve">Если полный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содержит поле с вложенной</w:t>
      </w:r>
      <w:r>
        <w:t xml:space="preserve"> </w:t>
      </w:r>
      <w:r>
        <w:rPr>
          <w:rStyle w:val="VerbatimChar"/>
        </w:rPr>
        <w:t xml:space="preserve">.wss</w:t>
      </w:r>
      <w:r>
        <w:t xml:space="preserve">-секцией, Workflow тоже применяет такое поле частично: меняются подполя, описанные вложенной WSS, а остальные подполя того же поля сохраняются.</w:t>
      </w:r>
    </w:p>
    <w:p>
      <w:pPr>
        <w:pStyle w:val="BodyText"/>
      </w:pPr>
      <w:r>
        <w:t xml:space="preserve">Расширение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 </w:t>
      </w:r>
      <w:r>
        <w:t xml:space="preserve">можно не указывать, если тип схемы заполнен явно. Сам файл должен быть доступен he3 в обычном месте для рабочих листов модуля или системы.</w:t>
      </w:r>
    </w:p>
    <w:p>
      <w:pPr>
        <w:pStyle w:val="BodyText"/>
      </w:pPr>
      <w:r>
        <w:t xml:space="preserve">Если экран не указан, Workflow не открывает форму и переход выполняется без запроса дополнительных данных.</w:t>
      </w:r>
    </w:p>
    <w:bookmarkEnd w:id="10"/>
    <w:bookmarkStart w:id="11" w:name="методы-ввода-128001-и-128002"/>
    <w:p>
      <w:pPr>
        <w:pStyle w:val="Heading3"/>
      </w:pPr>
      <w:r>
        <w:t xml:space="preserve">3. Методы ввода 128001 и 128002</w:t>
      </w:r>
    </w:p>
    <w:p>
      <w:pPr>
        <w:pStyle w:val="FirstParagraph"/>
      </w:pPr>
      <w:r>
        <w:t xml:space="preserve">Для сложных секций рабочий лист может использовать специальные методы ввода</w:t>
      </w:r>
      <w:r>
        <w:t xml:space="preserve"> </w:t>
      </w:r>
      <w:r>
        <w:rPr>
          <w:rStyle w:val="VerbatimChar"/>
        </w:rPr>
        <w:t xml:space="preserve">128001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128002</w:t>
      </w:r>
      <w:r>
        <w:t xml:space="preserve">. Их настройки задаются в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 </w:t>
      </w:r>
      <w:r>
        <w:t xml:space="preserve">в формате JSON. Такой подход позволяет редактировать данные штатно через he3 без отдельного предварительного построения черновика формы.</w:t>
      </w:r>
    </w:p>
    <w:bookmarkEnd w:id="11"/>
    <w:bookmarkStart w:id="12" w:name="публичная-форма"/>
    <w:p>
      <w:pPr>
        <w:pStyle w:val="Heading3"/>
      </w:pPr>
      <w:r>
        <w:t xml:space="preserve">4. Публичная форма</w:t>
      </w:r>
    </w:p>
    <w:p>
      <w:pPr>
        <w:pStyle w:val="FirstParagraph"/>
      </w:pPr>
      <w:r>
        <w:rPr>
          <w:rStyle w:val="VerbatimChar"/>
        </w:rPr>
        <w:t xml:space="preserve">WorkflowScreen</w:t>
      </w:r>
      <w:r>
        <w:t xml:space="preserve"> </w:t>
      </w:r>
      <w:r>
        <w:t xml:space="preserve">может построить упрощенную HTML-форму по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 </w:t>
      </w:r>
      <w:r>
        <w:t xml:space="preserve">для страниц создания, где нельзя показывать пользователю полный редактор</w:t>
      </w:r>
      <w:r>
        <w:t xml:space="preserve"> </w:t>
      </w:r>
      <w:r>
        <w:rPr>
          <w:rStyle w:val="VerbatimChar"/>
        </w:rPr>
        <w:t xml:space="preserve">he3</w:t>
      </w:r>
      <w:r>
        <w:t xml:space="preserve">. Такая форма использует ту же схему и те же storage-binding правила, но поддерживает только явно разрешенный ограниченный набор элементов ввода:</w:t>
      </w:r>
      <w:r>
        <w:t xml:space="preserve"> </w:t>
      </w:r>
      <w:r>
        <w:rPr>
          <w:rStyle w:val="VerbatimChar"/>
        </w:rPr>
        <w:t xml:space="preserve">text</w:t>
      </w:r>
      <w:r>
        <w:t xml:space="preserve">,</w:t>
      </w:r>
      <w:r>
        <w:t xml:space="preserve"> </w:t>
      </w:r>
      <w:r>
        <w:rPr>
          <w:rStyle w:val="VerbatimChar"/>
        </w:rPr>
        <w:t xml:space="preserve">textarea</w:t>
      </w:r>
      <w:r>
        <w:t xml:space="preserve">,</w:t>
      </w:r>
      <w:r>
        <w:t xml:space="preserve"> </w:t>
      </w:r>
      <w:r>
        <w:rPr>
          <w:rStyle w:val="VerbatimChar"/>
        </w:rPr>
        <w:t xml:space="preserve">radio</w:t>
      </w:r>
      <w:r>
        <w:t xml:space="preserve">,</w:t>
      </w:r>
      <w:r>
        <w:t xml:space="preserve"> </w:t>
      </w:r>
      <w:r>
        <w:rPr>
          <w:rStyle w:val="VerbatimChar"/>
        </w:rPr>
        <w:t xml:space="preserve">sidtexteditor</w:t>
      </w:r>
      <w:r>
        <w:t xml:space="preserve">,</w:t>
      </w:r>
      <w:r>
        <w:t xml:space="preserve"> </w:t>
      </w:r>
      <w:r>
        <w:rPr>
          <w:rStyle w:val="VerbatimChar"/>
        </w:rPr>
        <w:t xml:space="preserve">sidfilelist</w:t>
      </w:r>
      <w:r>
        <w:t xml:space="preserve">.</w:t>
      </w:r>
    </w:p>
    <w:p>
      <w:pPr>
        <w:pStyle w:val="BodyText"/>
      </w:pPr>
      <w:r>
        <w:t xml:space="preserve">Публичная форма включается явно через</w:t>
      </w:r>
      <w:r>
        <w:t xml:space="preserve"> </w:t>
      </w:r>
      <w:r>
        <w:rPr>
          <w:rStyle w:val="VerbatimChar"/>
        </w:rPr>
        <w:t xml:space="preserve">1^I</w:t>
      </w:r>
      <w:r>
        <w:t xml:space="preserve">. Если в схеме есть редактируемое поле с неподдерживаемым методом ввода, форма не выводится частично: модуль возвращает диагностическую ошибку настройки. При сохранении модуль заново читает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, переносит в запись только разрешенные поля и применяет настройки</w:t>
      </w:r>
      <w:r>
        <w:t xml:space="preserve"> </w:t>
      </w:r>
      <w:r>
        <w:rPr>
          <w:rStyle w:val="VerbatimChar"/>
        </w:rPr>
        <w:t xml:space="preserve">128001</w:t>
      </w:r>
      <w:r>
        <w:t xml:space="preserve">/</w:t>
      </w:r>
      <w:r>
        <w:rPr>
          <w:rStyle w:val="VerbatimChar"/>
        </w:rPr>
        <w:t xml:space="preserve">128002</w:t>
      </w:r>
      <w:r>
        <w:t xml:space="preserve">.</w:t>
      </w:r>
    </w:p>
    <w:p>
      <w:pPr>
        <w:pStyle w:val="BodyText"/>
      </w:pPr>
      <w:r>
        <w:t xml:space="preserve">Для сценариев публичного ввода может создаваться запись-черновик</w:t>
      </w:r>
      <w:r>
        <w:t xml:space="preserve"> </w:t>
      </w:r>
      <w:r>
        <w:rPr>
          <w:rStyle w:val="VerbatimChar"/>
        </w:rPr>
        <w:t xml:space="preserve">WORKFLOWSCREENDRAFT</w:t>
      </w:r>
      <w:r>
        <w:t xml:space="preserve">. В ней хранится ключ экрана, версия экрана, проект, тип записи, пользователь или сессия, trace id, срок жизни и безопасный JSON payload формы. Перед применением данных экран повторно валидируется по текущей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 </w:t>
      </w:r>
      <w:r>
        <w:t xml:space="preserve">схеме.</w:t>
      </w:r>
    </w:p>
    <w:bookmarkEnd w:id="12"/>
    <w:bookmarkStart w:id="13" w:name="использование"/>
    <w:p>
      <w:pPr>
        <w:pStyle w:val="Heading3"/>
      </w:pPr>
      <w:r>
        <w:t xml:space="preserve">5.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CreateScreen()</w:t>
            </w:r>
          </w:p>
        </w:tc>
        <w:tc>
          <w:tcPr/>
          <w:p>
            <w:pPr>
              <w:pStyle w:val="Compact"/>
            </w:pPr>
            <w:r>
              <w:t xml:space="preserve">создать объект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GetScreens()</w:t>
            </w:r>
          </w:p>
        </w:tc>
        <w:tc>
          <w:tcPr/>
          <w:p>
            <w:pPr>
              <w:pStyle w:val="Compact"/>
            </w:pPr>
            <w:r>
              <w:t xml:space="preserve">получить экраны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GetScreenByKey()</w:t>
            </w:r>
          </w:p>
        </w:tc>
        <w:tc>
          <w:tcPr/>
          <w:p>
            <w:pPr>
              <w:pStyle w:val="Compact"/>
            </w:pPr>
            <w:r>
              <w:t xml:space="preserve">найти экран по ключу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GetScreenSchema()</w:t>
            </w:r>
          </w:p>
        </w:tc>
        <w:tc>
          <w:tcPr/>
          <w:p>
            <w:pPr>
              <w:pStyle w:val="Compact"/>
            </w:pPr>
            <w:r>
              <w:t xml:space="preserve">разобрать</w:t>
            </w:r>
            <w:r>
              <w:t xml:space="preserve"> </w:t>
            </w:r>
            <w:r>
              <w:rPr>
                <w:rStyle w:val="VerbatimChar"/>
              </w:rPr>
              <w:t xml:space="preserve">.ws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.wss</w:t>
            </w:r>
            <w:r>
              <w:t xml:space="preserve"> </w:t>
            </w:r>
            <w:r>
              <w:t xml:space="preserve">в типизированную схему he3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ValidatePublicFormSchema()</w:t>
            </w:r>
          </w:p>
        </w:tc>
        <w:tc>
          <w:tcPr/>
          <w:p>
            <w:pPr>
              <w:pStyle w:val="Compact"/>
            </w:pPr>
            <w:r>
              <w:t xml:space="preserve">проверить, что экран пригоден для публичной формы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RenderPublicForm()</w:t>
            </w:r>
          </w:p>
        </w:tc>
        <w:tc>
          <w:tcPr/>
          <w:p>
            <w:pPr>
              <w:pStyle w:val="Compact"/>
            </w:pPr>
            <w:r>
              <w:t xml:space="preserve">построить публичную HTML-форму по рабочему листу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ApplyPublicFormToRecord()</w:t>
            </w:r>
          </w:p>
        </w:tc>
        <w:tc>
          <w:tcPr/>
          <w:p>
            <w:pPr>
              <w:pStyle w:val="Compact"/>
            </w:pPr>
            <w:r>
              <w:t xml:space="preserve">применить данные публичной формы к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CreateDraft()</w:t>
            </w:r>
          </w:p>
        </w:tc>
        <w:tc>
          <w:tcPr/>
          <w:p>
            <w:pPr>
              <w:pStyle w:val="Compact"/>
            </w:pPr>
            <w:r>
              <w:t xml:space="preserve">создать объект черновика публичного экрана</w:t>
            </w:r>
          </w:p>
        </w:tc>
      </w:tr>
    </w:tbl>
    <w:bookmarkEnd w:id="13"/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WorkflowScreen</dc:title>
  <dc:creator/>
  <cp:keywords/>
  <dcterms:created xsi:type="dcterms:W3CDTF">2026-11-01T10:33:28Z</dcterms:created>
  <dcterms:modified xsi:type="dcterms:W3CDTF">2026-11-01T10:33:28Z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