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Провайдеры и подключение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вайдеры-и-подключение"/>
    <w:p>
      <w:pPr>
        <w:pStyle w:val="Heading1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10" w:name="варианты-подключения"/>
    <w:p>
      <w:pPr>
        <w:pStyle w:val="Heading2"/>
      </w:pPr>
      <w:r>
        <w:t xml:space="preserve">1. Варианты подключения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10"/>
    <w:bookmarkStart w:id="11" w:name="открытие-баз"/>
    <w:p>
      <w:pPr>
        <w:pStyle w:val="Heading2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11"/>
    <w:bookmarkStart w:id="12" w:name="доступ-к-провайдеру-и-кэшу-открытых-баз"/>
    <w:p>
      <w:pPr>
        <w:pStyle w:val="Heading2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12"/>
    <w:bookmarkStart w:id="13" w:name="ошибки"/>
    <w:p>
      <w:pPr>
        <w:pStyle w:val="Heading2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Irbis64Nativ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Irbis64Nativ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Провайдеры и подключение</dc:title>
  <dc:creator/>
  <cp:keywords/>
  <dcterms:created xsi:type="dcterms:W3CDTF">2026-10-30T01:31:36Z</dcterms:created>
  <dcterms:modified xsi:type="dcterms:W3CDTF">2026-10-30T01:31:36Z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