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e859191e1795199d1594a3cad120fc4266973"/>
    <w:p>
      <w:pPr>
        <w:pStyle w:val="Heading1"/>
      </w:pPr>
      <w:r>
        <w:t xml:space="preserve">Руководство программиста FieldConfiguration</w:t>
      </w:r>
    </w:p>
    <w:bookmarkStart w:id="9" w:name="основной-контракт"/>
    <w:p>
      <w:pPr>
        <w:pStyle w:val="Heading2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9"/>
    <w:bookmarkStart w:id="10" w:name="основные-функции"/>
    <w:p>
      <w:pPr>
        <w:pStyle w:val="Heading2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10"/>
    <w:bookmarkStart w:id="11" w:name="не-входит-в-модуль"/>
    <w:p>
      <w:pPr>
        <w:pStyle w:val="Heading2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2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2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2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2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2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2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FieldConfiguration</dc:title>
  <dc:creator/>
  <cp:keywords/>
  <dcterms:created xsi:type="dcterms:W3CDTF">2026-10-29T16:40:55Z</dcterms:created>
  <dcterms:modified xsi:type="dcterms:W3CDTF">2026-10-29T16:40:55Z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