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 хранит проекты Workflow и связывает прикладные типы записей с workflow, схемами интерфейса, правилами идентификации и доступными типами связей записей проекта.</w:t>
      </w:r>
    </w:p>
    <w:bookmarkStart w:id="17" w:name="назначение-workflowproject"/>
    <w:p>
      <w:pPr>
        <w:pStyle w:val="Heading2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bookmarkStart w:id="18" w:name="X7d0afae73644aaef0685c61b729698814f715a2"/>
    <w:p>
      <w:pPr>
        <w:pStyle w:val="Heading2"/>
      </w:pPr>
      <w:r>
        <w:t xml:space="preserve">Повторная ссылка пропущена: Workflow/Modules/WorkflowProject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2026-11-08T00:07:13Z</dcterms:created>
  <dcterms:modified xsi:type="dcterms:W3CDTF">2026-11-08T00:07:13Z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