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WSS-описания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ss-описания-полей"/>
    <w:p>
      <w:pPr>
        <w:pStyle w:val="Heading1"/>
      </w:pPr>
      <w:r>
        <w:t xml:space="preserve">WSS-описания полей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загружает WSS/WS-описания полей, преобразует их в структуру JSON и кэширует результат.</w:t>
      </w:r>
    </w:p>
    <w:bookmarkStart w:id="9" w:name="назначение-wss"/>
    <w:p>
      <w:pPr>
        <w:pStyle w:val="Heading2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WSS-описания полей</dc:title>
  <dc:creator/>
  <cp:keywords/>
  <dcterms:created xsi:type="dcterms:W3CDTF">2026-10-29T04:56:14Z</dcterms:created>
  <dcterms:modified xsi:type="dcterms:W3CDTF">2026-10-29T04:56:14Z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