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Данные и представления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анные-и-представления"/>
    <w:p>
      <w:pPr>
        <w:pStyle w:val="Heading1"/>
      </w:pPr>
      <w:r>
        <w:t xml:space="preserve">Данные и представления</w:t>
      </w:r>
    </w:p>
    <w:bookmarkStart w:id="9" w:name="основные-базы"/>
    <w:p>
      <w:pPr>
        <w:pStyle w:val="Heading2"/>
      </w:pPr>
      <w:r>
        <w:t xml:space="preserve">1. Основные базы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9"/>
    <w:bookmarkStart w:id="10" w:name="основные-поля-support"/>
    <w:p>
      <w:pPr>
        <w:pStyle w:val="Heading2"/>
      </w:pPr>
      <w:r>
        <w:t xml:space="preserve">2. Основные поля SUPPORT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0"/>
    <w:bookmarkStart w:id="11" w:name="форматы"/>
    <w:p>
      <w:pPr>
        <w:pStyle w:val="Heading2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Данные и представления</dc:title>
  <dc:creator/>
  <cp:keywords/>
  <dcterms:created xsi:type="dcterms:W3CDTF">2026-10-28T20:29:09Z</dcterms:created>
  <dcterms:modified xsi:type="dcterms:W3CDTF">2026-10-28T20:29:09Z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