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«Читатель» предназначен для конечных пользователей библиотеки. Через него читатель получает доступ к базам данных электронного каталога, ищет литературу и информацию, просматривает найденные записи и при наличии прав оформляет заказ на выдачу.</w:t>
      </w:r>
    </w:p>
    <w:p>
      <w:pPr>
        <w:pStyle w:val="BodyText"/>
      </w:pPr>
      <w:r>
        <w:t xml:space="preserve">Основные возможности АРМ «Читатель»:</w:t>
      </w:r>
    </w:p>
    <w:p>
      <w:pPr>
        <w:pStyle w:val="Compact"/>
        <w:numPr>
          <w:ilvl w:val="0"/>
          <w:numId w:val="1001"/>
        </w:numPr>
      </w:pPr>
      <w:r>
        <w:t xml:space="preserve">поиск по электронному каталогу;</w:t>
      </w:r>
    </w:p>
    <w:p>
      <w:pPr>
        <w:pStyle w:val="Compact"/>
        <w:numPr>
          <w:ilvl w:val="0"/>
          <w:numId w:val="1001"/>
        </w:numPr>
      </w:pPr>
      <w:r>
        <w:t xml:space="preserve">уточнение поискового запроса по основным библиографическим признакам;</w:t>
      </w:r>
    </w:p>
    <w:p>
      <w:pPr>
        <w:pStyle w:val="Compact"/>
        <w:numPr>
          <w:ilvl w:val="0"/>
          <w:numId w:val="1001"/>
        </w:numPr>
      </w:pPr>
      <w:r>
        <w:t xml:space="preserve">просмотр краткого и полного библиографического описания;</w:t>
      </w:r>
    </w:p>
    <w:p>
      <w:pPr>
        <w:pStyle w:val="Compact"/>
        <w:numPr>
          <w:ilvl w:val="0"/>
          <w:numId w:val="1001"/>
        </w:numPr>
      </w:pPr>
      <w:r>
        <w:t xml:space="preserve">переход от найденной записи к связанным документам через поиск по связи;</w:t>
      </w:r>
    </w:p>
    <w:p>
      <w:pPr>
        <w:pStyle w:val="Compact"/>
        <w:numPr>
          <w:ilvl w:val="0"/>
          <w:numId w:val="1001"/>
        </w:numPr>
      </w:pPr>
      <w:r>
        <w:t xml:space="preserve">просмотр аннотаций, ключевых слов, содержания и систематических индексов;</w:t>
      </w:r>
    </w:p>
    <w:p>
      <w:pPr>
        <w:pStyle w:val="Compact"/>
        <w:numPr>
          <w:ilvl w:val="0"/>
          <w:numId w:val="1001"/>
        </w:numPr>
      </w:pPr>
      <w:r>
        <w:t xml:space="preserve">переход к полным текстам, если они подключены к записи;</w:t>
      </w:r>
    </w:p>
    <w:p>
      <w:pPr>
        <w:pStyle w:val="Compact"/>
        <w:numPr>
          <w:ilvl w:val="0"/>
          <w:numId w:val="1001"/>
        </w:numPr>
      </w:pPr>
      <w:r>
        <w:t xml:space="preserve">печать и экспорт отобранных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сохранение поисковых запросов и добавление записей в подборки для зарегистрированных пользователей;</w:t>
      </w:r>
    </w:p>
    <w:p>
      <w:pPr>
        <w:pStyle w:val="Compact"/>
        <w:numPr>
          <w:ilvl w:val="0"/>
          <w:numId w:val="1001"/>
        </w:numPr>
      </w:pPr>
      <w:r>
        <w:t xml:space="preserve">оформление заказа на выдачу издания.</w:t>
      </w:r>
    </w:p>
    <w:p>
      <w:pPr>
        <w:pStyle w:val="FirstParagraph"/>
      </w:pPr>
      <w:r>
        <w:t xml:space="preserve">Материалы PDF старого PDF «Электронная библиотека 128» в основном относятся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настройке электронной библиотеки, управлению полными текстами, коллекциям, правам и просмотрщикам. Читательские действия с полными текстами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связаны с этими настройками, но подробно описываются в справке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2026-11-01T13:07:42Z</dcterms:created>
  <dcterms:modified xsi:type="dcterms:W3CDTF">2026-11-01T13:07:42Z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