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Табличные и 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табличные-и-статистические-формы"/>
    <w:p>
      <w:pPr>
        <w:pStyle w:val="Heading1"/>
      </w:pPr>
      <w:r>
        <w:t xml:space="preserve">Табличные и 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 </w:t>
      </w:r>
      <w:r>
        <w:t xml:space="preserve">формирует выходные табличные формы и статистические формы по записям базы данных.</w:t>
      </w:r>
    </w:p>
    <w:p>
      <w:pPr>
        <w:pStyle w:val="BodyText"/>
      </w:pPr>
      <w:r>
        <w:t xml:space="preserve">В пользовательском интерфейсе статистические формы вызываются из панели результатов поиска кнопкой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. Кнопка доступна в тех АРМах и профилях, где включён вывод статистических форм, и с учётом прав доступа пользователя.</w:t>
      </w:r>
    </w:p>
    <w:p>
      <w:pPr>
        <w:pStyle w:val="BodyText"/>
      </w:pPr>
      <w:r>
        <w:t xml:space="preserve">Пошаговый пользовательский сценарий для АРМ Каталогизатор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Статистические формы в АРМ Каталогизатор</w:t>
        </w:r>
      </w:hyperlink>
      <w:r>
        <w:t xml:space="preserve">.</w:t>
      </w:r>
    </w:p>
    <w:p>
      <w:pPr>
        <w:pStyle w:val="BodyText"/>
      </w:pPr>
      <w:r>
        <w:t xml:space="preserve">После построения формы система показывает ссылку для скачивания временного файла результата. Сценарий получения файла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20" w:name="статистические-формы"/>
    <w:p>
      <w:pPr>
        <w:pStyle w:val="Heading2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1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1"/>
    <w:bookmarkStart w:id="12" w:name="доступность-в-интерфейсе"/>
    <w:p>
      <w:pPr>
        <w:pStyle w:val="Heading3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2"/>
    <w:bookmarkStart w:id="13" w:name="файлы-формы"/>
    <w:p>
      <w:pPr>
        <w:pStyle w:val="Heading3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3"/>
    <w:bookmarkStart w:id="14" w:name="формат-.stf"/>
    <w:p>
      <w:pPr>
        <w:pStyle w:val="Heading3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4"/>
    <w:bookmarkStart w:id="15" w:name="справочники-строк-и-столбцов"/>
    <w:p>
      <w:pPr>
        <w:pStyle w:val="Heading3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5"/>
    <w:bookmarkStart w:id="16" w:name="модельное-поле-и-ограничения"/>
    <w:p>
      <w:pPr>
        <w:pStyle w:val="Heading3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пример-фрагмента-.stf"/>
    <w:p>
      <w:pPr>
        <w:pStyle w:val="Heading3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7"/>
    <w:bookmarkStart w:id="18" w:name="как-строится-результат"/>
    <w:p>
      <w:pPr>
        <w:pStyle w:val="Heading3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8"/>
    <w:bookmarkStart w:id="19" w:name="не-путать-со-statforms"/>
    <w:p>
      <w:pPr>
        <w:pStyle w:val="Heading3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9"/>
    <w:bookmarkEnd w:id="20"/>
    <w:bookmarkStart w:id="23" w:name="получение-файла-результата"/>
    <w:p>
      <w:pPr>
        <w:pStyle w:val="Heading2"/>
      </w:pPr>
      <w:r>
        <w:t xml:space="preserve">Получение файла результата</w:t>
      </w:r>
    </w:p>
    <w:p>
      <w:pPr>
        <w:pStyle w:val="FirstParagraph"/>
      </w:pPr>
      <w:r>
        <w:t xml:space="preserve">Табличные и статистические формы обычно строятся как фоновая задача. После запуска из окна выбора формы система открывает окно выполнения операции, показывает ход построения и после успешного завершения выводит ссылку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При нажатии на ссылку файл открывается или скачивается в новой вкладке браузера. Окно выполнения операции после этого закрывается автоматически через несколько секунд, поэтому дополнительно нажимать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не нужно.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остается способом закрыть окно без скачивания результата.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используется только до завершения задачи; после завершения она скрывается.</w:t>
      </w:r>
    </w:p>
    <w:bookmarkStart w:id="21" w:name="где-используется"/>
    <w:p>
      <w:pPr>
        <w:pStyle w:val="Heading3"/>
      </w:pPr>
      <w:r>
        <w:t xml:space="preserve">1. Где используется</w:t>
      </w:r>
    </w:p>
    <w:p>
      <w:pPr>
        <w:pStyle w:val="FirstParagraph"/>
      </w:pPr>
      <w:r>
        <w:t xml:space="preserve">Такой порядок применяется для результатов, которые формируют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</w:t>
      </w:r>
      <w:r>
        <w:t xml:space="preserve"> </w:t>
      </w:r>
      <w:r>
        <w:t xml:space="preserve">- табличные выходные формы из списков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TabForms/BuildCMPL</w:t>
      </w:r>
      <w:r>
        <w:t xml:space="preserve"> </w:t>
      </w:r>
      <w:r>
        <w:t xml:space="preserve">- выходные формы комплектования и связанных списков;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TabForms/BuildSTF</w:t>
      </w:r>
      <w:r>
        <w:t xml:space="preserve"> </w:t>
      </w:r>
      <w:r>
        <w:t xml:space="preserve">- статистические формы.</w:t>
      </w:r>
    </w:p>
    <w:p>
      <w:pPr>
        <w:pStyle w:val="FirstParagraph"/>
      </w:pPr>
      <w:r>
        <w:t xml:space="preserve">Результирующий файл создается как временный файл. Если ссылка больше не открывается, форму нужно построить повторно.</w:t>
      </w:r>
    </w:p>
    <w:bookmarkEnd w:id="21"/>
    <w:bookmarkStart w:id="22" w:name="что-видит-пользователь"/>
    <w:p>
      <w:pPr>
        <w:pStyle w:val="Heading3"/>
      </w:pPr>
      <w:r>
        <w:t xml:space="preserve">2. Что видит пользователь</w:t>
      </w:r>
    </w:p>
    <w:p>
      <w:pPr>
        <w:pStyle w:val="Compact"/>
        <w:numPr>
          <w:ilvl w:val="0"/>
          <w:numId w:val="1005"/>
        </w:numPr>
      </w:pPr>
      <w:r>
        <w:t xml:space="preserve">В окне выбора формы пользователь выбирает область обработки и форму.</w:t>
      </w:r>
    </w:p>
    <w:p>
      <w:pPr>
        <w:pStyle w:val="Compact"/>
        <w:numPr>
          <w:ilvl w:val="0"/>
          <w:numId w:val="1005"/>
        </w:numPr>
      </w:pPr>
      <w:r>
        <w:t xml:space="preserve">После подтверждения кнопкой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открывается окно выполнения операции.</w:t>
      </w:r>
    </w:p>
    <w:p>
      <w:pPr>
        <w:pStyle w:val="Compact"/>
        <w:numPr>
          <w:ilvl w:val="0"/>
          <w:numId w:val="1005"/>
        </w:numPr>
      </w:pPr>
      <w:r>
        <w:t xml:space="preserve">Когда задача завершается, в окне появляется ссылка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Нажатие на ссылку начинает скачивание и автоматически закрывает окно выполнения операции.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Табличные и статистические формы</dc:title>
  <dc:creator/>
  <cp:keywords/>
  <dcterms:created xsi:type="dcterms:W3CDTF">2026-11-03T12:40:34Z</dcterms:created>
  <dcterms:modified xsi:type="dcterms:W3CDTF">2026-11-03T12:40:34Z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