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859191e1795199d1594a3cad120fc4266973"/>
    <w:p>
      <w:pPr>
        <w:pStyle w:val="Heading1"/>
      </w:pPr>
      <w:r>
        <w:t xml:space="preserve">Руководство программиста FieldConfiguration</w:t>
      </w:r>
    </w:p>
    <w:bookmarkStart w:id="9" w:name="основной-контракт"/>
    <w:p>
      <w:pPr>
        <w:pStyle w:val="Heading2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9"/>
    <w:bookmarkStart w:id="10" w:name="основные-функции"/>
    <w:p>
      <w:pPr>
        <w:pStyle w:val="Heading2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10"/>
    <w:bookmarkStart w:id="11" w:name="не-входит-в-модуль"/>
    <w:p>
      <w:pPr>
        <w:pStyle w:val="Heading2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2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2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2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2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2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2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FieldConfiguration</dc:title>
  <dc:creator/>
  <cp:keywords/>
  <dcterms:created xsi:type="dcterms:W3CDTF">2026-11-08T12:21:17Z</dcterms:created>
  <dcterms:modified xsi:type="dcterms:W3CDTF">2026-11-08T12:21:17Z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