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[I128-2145] Изменен способ показа авторитетной записи на стандартный в зависимости от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e6bb2d65d0b207cb2940c1cbe77d13b7f52f6d"/>
    <w:p>
      <w:pPr>
        <w:pStyle w:val="Heading1"/>
      </w:pPr>
      <w:r>
        <w:t xml:space="preserve">[I128-2145] Изменен способ показа авторитетной записи на стандартный в зависимости от рабочего листа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23.02.2026 13:58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0"/>
    <w:p>
      <w:pPr>
        <w:pStyle w:val="Heading3"/>
      </w:pPr>
      <w:r>
        <w:t xml:space="preserve">1.1. 🔗 Соответствует задача: I128-2200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[I128-2200]</w:t>
        </w:r>
      </w:hyperlink>
      <w:r>
        <w:t xml:space="preserve"> </w:t>
      </w:r>
      <w:r>
        <w:t xml:space="preserve">Изменен способ показа авторитетной записи на стандартный в зависимости от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[I128-2145] Изменен способ показа авторитетной записи на стандартный в зависимости от рабочего листа</dc:title>
  <dc:creator/>
  <cp:keywords/>
  <dcterms:created xsi:type="dcterms:W3CDTF">2026-11-02T11:58:56Z</dcterms:created>
  <dcterms:modified xsi:type="dcterms:W3CDTF">2026-11-02T11:58:56Z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