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[I128-2568] Database запускает диагностику соответствия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47469af78303a6bc81e9a41d99a7e3bea251bd7"/>
    <w:p>
      <w:pPr>
        <w:pStyle w:val="Heading1"/>
      </w:pPr>
      <w:r>
        <w:t xml:space="preserve">[I128-2568] Database запускает диагностику соответствия 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11:36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диагностику соответствия MFN в MST/XRF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задавая диапазон MFN и лимит подробных ошибок без прямого обращения к provider-specific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Вызов делегирует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CallProviderAction(..., DiagMfn, ...)</w:t>
      </w:r>
      <w:r>
        <w:t xml:space="preserve">, передает диапазон MFN, лимит ошибок и callback прогресса.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запускает длительную диагностику и дополняет результат ссылками Help через</w:t>
      </w:r>
      <w:r>
        <w:t xml:space="preserve"> </w:t>
      </w:r>
      <w:r>
        <w:rPr>
          <w:rStyle w:val="VerbatimChar"/>
        </w:rPr>
        <w:t xml:space="preserve">Database/AddDiagnosticHelpLinks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read</w:t>
      </w:r>
      <w:r>
        <w:rPr>
          <w:strike/>
        </w:rPr>
        <w:t xml:space="preserve">only проверки соответствия MFN в XRF и MST</w:t>
      </w:r>
      <w:r>
        <w:t xml:space="preserve">лидере. Пользователь сможет видеть ход проверки по диапазону, получать структурированный список найденных проблем и переходить к справке по типам ошибок диагностики.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</w:t>
      </w:r>
      <w:r>
        <w:rPr>
          <w:strike/>
        </w:rPr>
        <w:t xml:space="preserve">level диагностики MFN. Окна запуска, параллельные/range</w:t>
      </w:r>
      <w:r>
        <w:t xml:space="preserve">варианты и страницы Help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I128~~2543</w:t>
      </w:r>
      <w:r>
        <w:t xml:space="preserve">, где добавлена provider</w:t>
      </w:r>
      <w:r>
        <w:rPr>
          <w:strike/>
        </w:rPr>
        <w:t xml:space="preserve">level диагностика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DP_Irbis64Native/DiagMfn</w:t>
      </w:r>
      <w:r>
        <w:rPr>
          <w:strike/>
        </w:rPr>
        <w:t xml:space="preserve">, и после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I128~~2567</w:t>
      </w:r>
      <w:r>
        <w:rPr>
          <w:strike/>
        </w:rPr>
        <w:t xml:space="preserve">, где добавлен общий helper Help</w:t>
      </w:r>
      <w:r>
        <w:t xml:space="preserve">ссылок.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справка и описание окна диагностики будут вынесены вместе с UI/Help-задачами.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3"/>
    <w:p>
      <w:pPr>
        <w:pStyle w:val="Heading3"/>
      </w:pPr>
      <w:r>
        <w:t xml:space="preserve">1.1. 🔗 blocks: I128-2543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[I128-2543]</w:t>
        </w:r>
      </w:hyperlink>
      <w:r>
        <w:t xml:space="preserve"> </w:t>
      </w:r>
      <w:r>
        <w:t xml:space="preserve">DP_Irbis64Native диагностирует соответствие MFN в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7"/>
    <w:p>
      <w:pPr>
        <w:pStyle w:val="Heading3"/>
      </w:pPr>
      <w:r>
        <w:t xml:space="preserve">1.2. 🔗 blocks: I128-2567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96"/>
    <w:p>
      <w:pPr>
        <w:pStyle w:val="Heading3"/>
      </w:pPr>
      <w:r>
        <w:t xml:space="preserve">1.3. 🔗 blocks: I128-2596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7"/>
    <w:p>
      <w:pPr>
        <w:pStyle w:val="Heading3"/>
      </w:pPr>
      <w:r>
        <w:t xml:space="preserve">1.4. 🔗 blocks: I128-2597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0"/>
    <w:p>
      <w:pPr>
        <w:pStyle w:val="Heading3"/>
      </w:pPr>
      <w:r>
        <w:t xml:space="preserve">1.5. 🔗 blocks: I128-2600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3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596/README" TargetMode="External" /><Relationship Type="http://schemas.openxmlformats.org/officeDocument/2006/relationships/hyperlink" Id="rId15" Target="?id=Help/Show&amp;m=Help/GeneralDescription/WhatsNew/I128/TaskInfo/I128-2597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3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596/README" TargetMode="External" /><Relationship Type="http://schemas.openxmlformats.org/officeDocument/2006/relationships/hyperlink" Id="rId15" Target="?id=Help/Show&amp;m=Help/GeneralDescription/WhatsNew/I128/TaskInfo/I128-2597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[I128-2568] Database запускает диагностику соответствия MFN</dc:title>
  <dc:creator/>
  <cp:keywords/>
  <dcterms:created xsi:type="dcterms:W3CDTF">2026-11-03T09:05:57Z</dcterms:created>
  <dcterms:modified xsi:type="dcterms:W3CDTF">2026-11-03T09:05:57Z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