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ATHRS</w:t>
      </w:r>
      <w:r>
        <w:t xml:space="preserve"> </w:t>
      </w:r>
      <w:r>
        <w:t xml:space="preserve">ведёт авторитетные записи предметных заголовков.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 открываются через полевой редактор и применяются при контроле предметизации.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предметных заголовков.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GetATHRSNodes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предметных рубрик.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используются как контролируемый источник предметных рубрик и связанных вариантов заголовков.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2026-10-26T13:52:18Z</dcterms:created>
  <dcterms:modified xsi:type="dcterms:W3CDTF">2026-10-26T13:52:18Z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