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 хранит схемы выбора представлений для страниц проекта.</w:t>
      </w:r>
    </w:p>
    <w:bookmarkStart w:id="13" w:name="назначение-workflowviewscheme"/>
    <w:p>
      <w:pPr>
        <w:pStyle w:val="Heading2"/>
      </w:pPr>
      <w:r>
        <w:t xml:space="preserve">Назначение WorkflowViewScheme</w:t>
      </w:r>
    </w:p>
    <w:p>
      <w:pPr>
        <w:pStyle w:val="FirstParagraph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связывает тип записи и ключ страницы с представлением списка, карточки, формы создания, внешней страницы или доски. Благодаря этому один и тот же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может обслуживать разные интерфейсы проекта.</w:t>
      </w:r>
    </w:p>
    <w:p>
      <w:pPr>
        <w:pStyle w:val="BodyText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является источником состава верхней навигации проекта: пункт меню появляется только тогда, когда соответствующий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включен в активную схему представлений.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этого пункта, но сама по себе не публикует страницу в меню.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8101ea77dbc7cd9a447332b2c27dd155d0ad550"/>
    <w:p>
      <w:pPr>
        <w:pStyle w:val="Heading2"/>
      </w:pPr>
      <w:r>
        <w:t xml:space="preserve">Повторная ссылка пропущена: Workflow/Modules/WorkflowViewScheme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2026-10-28T02:42:36Z</dcterms:created>
  <dcterms:modified xsi:type="dcterms:W3CDTF">2026-10-28T02:42:36Z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