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  <Override PartName="/word/media/rId34.png" ContentType="image/png"/>
  <Override PartName="/word/media/rId28.png" ContentType="image/png"/>
  <Override PartName="/word/media/rId172.png" ContentType="image/png"/>
  <Override PartName="/word/media/rId181.png" ContentType="image/png"/>
  <Override PartName="/word/media/rId178.png" ContentType="image/png"/>
  <Override PartName="/word/media/rId184.png" ContentType="image/png"/>
  <Override PartName="/word/media/rId169.png" ContentType="image/png"/>
  <Override PartName="/word/media/rId175.png" ContentType="image/png"/>
  <Override PartName="/word/media/rId250.png" ContentType="image/png"/>
  <Override PartName="/word/media/rId256.png" ContentType="image/png"/>
  <Override PartName="/word/media/rId244.png" ContentType="image/png"/>
  <Override PartName="/word/media/rId262.png" ContentType="image/png"/>
  <Override PartName="/word/media/rId259.png" ContentType="image/png"/>
  <Override PartName="/word/media/rId235.png" ContentType="image/png"/>
  <Override PartName="/word/media/rId253.png" ContentType="image/png"/>
  <Override PartName="/word/media/rId247.png" ContentType="image/png"/>
  <Override PartName="/word/media/rId232.png" ContentType="image/png"/>
  <Override PartName="/word/media/rId241.png" ContentType="image/png"/>
  <Override PartName="/word/media/rId229.png" ContentType="image/png"/>
  <Override PartName="/word/media/rId238.png" ContentType="image/png"/>
  <Override PartName="/word/media/rId13.png" ContentType="image/png"/>
  <Override PartName="/word/media/rId38.png" ContentType="image/png"/>
  <Override PartName="/word/media/rId149.png" ContentType="image/png"/>
  <Override PartName="/word/media/rId146.png" ContentType="image/png"/>
  <Override PartName="/word/media/rId158.png" ContentType="image/png"/>
  <Override PartName="/word/media/rId164.png" ContentType="image/png"/>
  <Override PartName="/word/media/rId161.png" ContentType="image/png"/>
  <Override PartName="/word/media/rId132.png" ContentType="image/png"/>
  <Override PartName="/word/media/rId155.png" ContentType="image/png"/>
  <Override PartName="/word/media/rId143.png" ContentType="image/png"/>
  <Override PartName="/word/media/rId152.png" ContentType="image/png"/>
  <Override PartName="/word/media/rId138.png" ContentType="image/png"/>
  <Override PartName="/word/media/rId128.png" ContentType="image/png"/>
  <Override PartName="/word/media/rId135.png" ContentType="image/png"/>
  <Override PartName="/word/media/rId212.png" ContentType="image/png"/>
  <Override PartName="/word/media/rId218.png" ContentType="image/png"/>
  <Override PartName="/word/media/rId206.png" ContentType="image/png"/>
  <Override PartName="/word/media/rId224.png" ContentType="image/png"/>
  <Override PartName="/word/media/rId221.png" ContentType="image/png"/>
  <Override PartName="/word/media/rId197.png" ContentType="image/png"/>
  <Override PartName="/word/media/rId215.png" ContentType="image/png"/>
  <Override PartName="/word/media/rId209.png" ContentType="image/png"/>
  <Override PartName="/word/media/rId194.png" ContentType="image/png"/>
  <Override PartName="/word/media/rId203.png" ContentType="image/png"/>
  <Override PartName="/word/media/rId189.png" ContentType="image/png"/>
  <Override PartName="/word/media/rId200.png" ContentType="image/png"/>
  <Override PartName="/word/media/rId85.png" ContentType="image/png"/>
  <Override PartName="/word/media/rId97.png" ContentType="image/png"/>
  <Override PartName="/word/media/rId88.png" ContentType="image/png"/>
  <Override PartName="/word/media/rId94.png" ContentType="image/png"/>
  <Override PartName="/word/media/rId91.png" ContentType="image/png"/>
  <Override PartName="/word/media/rId113.png" ContentType="image/png"/>
  <Override PartName="/word/media/rId53.png" ContentType="image/png"/>
  <Override PartName="/word/media/rId56.png" ContentType="image/png"/>
  <Override PartName="/word/media/rId67.png" ContentType="image/png"/>
  <Override PartName="/word/media/rId77.png" ContentType="image/png"/>
  <Override PartName="/word/media/rId74.png" ContentType="image/png"/>
  <Override PartName="/word/media/rId64.png" ContentType="image/png"/>
  <Override PartName="/word/media/rId61.png" ContentType="image/png"/>
  <Override PartName="/word/media/rId71.png" ContentType="image/png"/>
  <Override PartName="/word/media/rId82.png" ContentType="image/png"/>
  <Override PartName="/word/media/rId123.png" ContentType="image/png"/>
  <Override PartName="/word/media/rId48.png" ContentType="image/png"/>
  <Override PartName="/word/media/rId45.png" ContentType="image/png"/>
  <Override PartName="/word/media/rId267.png" ContentType="image/png"/>
  <Override PartName="/word/media/rId9.png" ContentType="image/png"/>
  <Override PartName="/word/media/rId105.png" ContentType="image/png"/>
  <Override PartName="/word/media/rId101.png" ContentType="image/png"/>
  <Override PartName="/word/media/rId274.png" ContentType="image/png"/>
  <Override PartName="/word/media/rId27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Руководство пользователя описывает работу библиотекаря в АРМ «Книговыдача». Основная страница АРМа открывается через модуль Bookland после входа пользователя и выбора профиля книговыдачи.</w:t>
      </w:r>
    </w:p>
    <w:p>
      <w:pPr>
        <w:pStyle w:val="BodyText"/>
      </w:pPr>
      <w:r>
        <w:t xml:space="preserve">В рабочей области доступны панели ввода штрих-кодов, поиска читателя и издания, текущего читателя, формуляра, оперативной статистики и списков заявок. Состав панелей зависит от профиля: администратор может скрыть отдельные режимы, включить групповую выдачу, RFID, бронеполку, продление, ЭДД или очередь заказов.</w:t>
      </w:r>
    </w:p>
    <w:p>
      <w:pPr>
        <w:pStyle w:val="BodyText"/>
      </w:pPr>
      <w:r>
        <w:t xml:space="preserve">Перед началом обслуживания проверьте выбранный профиль и место выдачи в нижней панели АРМа. Если профиль не выбран, система перенаправляет на страницу выбора профиля. Когда пользователю доступно несколько профилей, каждый вариант отображается в виде «код места выдачи - название профиля», чтобы библиотекарь мог сразу выбрать нужный пункт обслуживания.</w:t>
      </w:r>
    </w:p>
    <w:bookmarkStart w:id="12" w:name="X5cb0cc0b50e8d22160173b70536d60773642f18"/>
    <w:p>
      <w:pPr>
        <w:pStyle w:val="Heading2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Особенность интерфейса АРМ «Книговыдача» - отсутствие главного меню и наличие перемещаемых и неперемещаемых форм.</w:t>
      </w:r>
    </w:p>
    <w:p>
      <w:pPr>
        <w:pStyle w:val="BodyText"/>
      </w:pPr>
      <w:r>
        <w:t xml:space="preserve">Интерфейс состоит из:</w:t>
      </w:r>
    </w:p>
    <w:p>
      <w:pPr>
        <w:pStyle w:val="Compact"/>
        <w:numPr>
          <w:ilvl w:val="0"/>
          <w:numId w:val="1001"/>
        </w:numPr>
      </w:pPr>
      <w:r>
        <w:t xml:space="preserve">панели сервисных операций;</w:t>
      </w:r>
    </w:p>
    <w:p>
      <w:pPr>
        <w:pStyle w:val="Compact"/>
        <w:numPr>
          <w:ilvl w:val="0"/>
          <w:numId w:val="1001"/>
        </w:numPr>
      </w:pPr>
      <w:r>
        <w:t xml:space="preserve">области скоростной выдачи/возврата;</w:t>
      </w:r>
    </w:p>
    <w:p>
      <w:pPr>
        <w:pStyle w:val="Compact"/>
        <w:numPr>
          <w:ilvl w:val="0"/>
          <w:numId w:val="1001"/>
        </w:numPr>
      </w:pPr>
      <w:r>
        <w:t xml:space="preserve">формы «Настройки»;</w:t>
      </w:r>
    </w:p>
    <w:p>
      <w:pPr>
        <w:pStyle w:val="Compact"/>
        <w:numPr>
          <w:ilvl w:val="0"/>
          <w:numId w:val="1001"/>
        </w:numPr>
      </w:pPr>
      <w:r>
        <w:t xml:space="preserve">формы «Поиск читателя»;</w:t>
      </w:r>
    </w:p>
    <w:p>
      <w:pPr>
        <w:pStyle w:val="Compact"/>
        <w:numPr>
          <w:ilvl w:val="0"/>
          <w:numId w:val="1001"/>
        </w:numPr>
      </w:pPr>
      <w:r>
        <w:t xml:space="preserve">формы «Выдача без заказа»;</w:t>
      </w:r>
    </w:p>
    <w:p>
      <w:pPr>
        <w:pStyle w:val="Compact"/>
        <w:numPr>
          <w:ilvl w:val="0"/>
          <w:numId w:val="1001"/>
        </w:numPr>
      </w:pPr>
      <w:r>
        <w:t xml:space="preserve">формы «Оперативная статистика посещений»;</w:t>
      </w:r>
    </w:p>
    <w:p>
      <w:pPr>
        <w:pStyle w:val="Compact"/>
        <w:numPr>
          <w:ilvl w:val="0"/>
          <w:numId w:val="1001"/>
        </w:numPr>
      </w:pPr>
      <w:r>
        <w:t xml:space="preserve">области читателя;</w:t>
      </w:r>
    </w:p>
    <w:p>
      <w:pPr>
        <w:pStyle w:val="Compact"/>
        <w:numPr>
          <w:ilvl w:val="0"/>
          <w:numId w:val="1001"/>
        </w:numPr>
      </w:pPr>
      <w:r>
        <w:t xml:space="preserve">окон учета посещений;</w:t>
      </w:r>
    </w:p>
    <w:p>
      <w:pPr>
        <w:pStyle w:val="Compact"/>
        <w:numPr>
          <w:ilvl w:val="0"/>
          <w:numId w:val="1001"/>
        </w:numPr>
      </w:pPr>
      <w:r>
        <w:t xml:space="preserve">форм «Заказы», «Бронеполка», «Продление» и «ЭДД».</w:t>
      </w:r>
    </w:p>
    <w:p>
      <w:pPr>
        <w:pStyle w:val="CaptionedFigure"/>
      </w:pPr>
      <w:r>
        <w:drawing>
          <wp:inline>
            <wp:extent cx="5334000" cy="3124200"/>
            <wp:effectExtent b="0" l="0" r="0" t="0"/>
            <wp:docPr descr="Рисунок 1 - Общий вид интерфейса АРМ «Книговыдача»" title="Общий вид интерфейса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interface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 «Книговыдача»</w:t>
      </w:r>
    </w:p>
    <w:p>
      <w:pPr>
        <w:pStyle w:val="BodyText"/>
      </w:pPr>
      <w:r>
        <w:t xml:space="preserve">Область скоростной выдачи/возврата содержит формы для ввода штрих-кода выдаваемого экземпляра, группы штрих-кодов для выдачи, проверки по штрих-коду, ввода штрих-кода возвращаемого экземпляра и группы штрих-кодов для возврата.</w:t>
      </w:r>
    </w:p>
    <w:p>
      <w:pPr>
        <w:pStyle w:val="BodyText"/>
      </w:pPr>
      <w:r>
        <w:t xml:space="preserve">Область читателя служит для отображения записи одного читателя и работы с ней. Она состоит из форм «Текущий читатель» и «Издания на руках у читателя».</w:t>
      </w:r>
    </w:p>
    <w:p>
      <w:pPr>
        <w:pStyle w:val="BodyText"/>
      </w:pPr>
      <w:r>
        <w:t xml:space="preserve">Набор доступных панелей зависит от профиля книговыдачи. Профиль может скрыть отдельный ввод читателя, панель настроек, выбор формата просмотра, групповую выдачу, RFID, очередь заказов, бронеполку, продление или ЭДД.</w:t>
      </w:r>
    </w:p>
    <w:p>
      <w:pPr>
        <w:pStyle w:val="BodyText"/>
      </w:pPr>
      <w:r>
        <w:t xml:space="preserve">Интерфейс поддерживает настройку внешнего вида: перемещение отдельных форм, изменение порядка и видимости колонок табличных форм, изменение размеров областей и скрытие/разворачивание форм. Такие настройки действуют в пределах текущего сеанса.</w:t>
      </w:r>
    </w:p>
    <w:bookmarkEnd w:id="12"/>
    <w:bookmarkStart w:id="24" w:name="область-скоростной-выдачивозврата"/>
    <w:p>
      <w:pPr>
        <w:pStyle w:val="Heading2"/>
      </w:pPr>
      <w:r>
        <w:t xml:space="preserve">Область скоростной выдачи/возврата</w:t>
      </w:r>
    </w:p>
    <w:p>
      <w:pPr>
        <w:pStyle w:val="FirstParagraph"/>
      </w:pPr>
      <w:r>
        <w:t xml:space="preserve">Область скоростной выдачи/возврата предназначена для обслуживания читателей по штрих-кодам читательских билетов и экземпляров изданий.</w:t>
      </w:r>
    </w:p>
    <w:p>
      <w:pPr>
        <w:pStyle w:val="CaptionedFigure"/>
      </w:pPr>
      <w:r>
        <w:drawing>
          <wp:inline>
            <wp:extent cx="5334000" cy="379341"/>
            <wp:effectExtent b="0" l="0" r="0" t="0"/>
            <wp:docPr descr="Рисунок 1 - Панели скоростной выдачи и возврата" title="Панели скоростной выдачи и возврата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inout-area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Панели скоростной выдачи и возврата</w:t>
      </w:r>
    </w:p>
    <w:p>
      <w:pPr>
        <w:pStyle w:val="BodyText"/>
      </w:pPr>
      <w:r>
        <w:t xml:space="preserve">Идентификация по штрих-коду является наиболее технологичным способом работы: поиск экземпляра в электронном каталоге и поиск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должны давать однозначный результат.</w:t>
      </w:r>
    </w:p>
    <w:p>
      <w:pPr>
        <w:pStyle w:val="BodyText"/>
      </w:pPr>
      <w:r>
        <w:t xml:space="preserve">Перед началом работы должны быть заданы место выдачи и дата предполагаемого возврата. Эти параметры задаются в форме «Настройки» и используются при оформлении выдачи.</w:t>
      </w:r>
    </w:p>
    <w:bookmarkStart w:id="16" w:name="формы-ввода"/>
    <w:p>
      <w:pPr>
        <w:pStyle w:val="Heading3"/>
      </w:pPr>
      <w:r>
        <w:t xml:space="preserve">1. Формы ввода</w:t>
      </w:r>
    </w:p>
    <w:p>
      <w:pPr>
        <w:pStyle w:val="FirstParagraph"/>
      </w:pPr>
      <w:r>
        <w:t xml:space="preserve">В области используются следующие формы:</w:t>
      </w:r>
    </w:p>
    <w:p>
      <w:pPr>
        <w:pStyle w:val="Compact"/>
        <w:numPr>
          <w:ilvl w:val="0"/>
          <w:numId w:val="1002"/>
        </w:numPr>
      </w:pPr>
      <w:r>
        <w:t xml:space="preserve">«Ввод штрих-кода для выдачи экземпляра»;</w:t>
      </w:r>
    </w:p>
    <w:p>
      <w:pPr>
        <w:pStyle w:val="Compact"/>
        <w:numPr>
          <w:ilvl w:val="0"/>
          <w:numId w:val="1002"/>
        </w:numPr>
      </w:pPr>
      <w:r>
        <w:t xml:space="preserve">«Ввод группы штрих-кодов для выдачи экземпляров»;</w:t>
      </w:r>
    </w:p>
    <w:p>
      <w:pPr>
        <w:pStyle w:val="Compact"/>
        <w:numPr>
          <w:ilvl w:val="0"/>
          <w:numId w:val="1002"/>
        </w:numPr>
      </w:pPr>
      <w:r>
        <w:t xml:space="preserve">«Проверить по штрих-коду, у кого на руках книга»;</w:t>
      </w:r>
    </w:p>
    <w:p>
      <w:pPr>
        <w:pStyle w:val="Compact"/>
        <w:numPr>
          <w:ilvl w:val="0"/>
          <w:numId w:val="1002"/>
        </w:numPr>
      </w:pPr>
      <w:r>
        <w:t xml:space="preserve">«Ввод штрих-кода для возврата экземпляра»;</w:t>
      </w:r>
    </w:p>
    <w:p>
      <w:pPr>
        <w:pStyle w:val="Compact"/>
        <w:numPr>
          <w:ilvl w:val="0"/>
          <w:numId w:val="1002"/>
        </w:numPr>
      </w:pPr>
      <w:r>
        <w:t xml:space="preserve">«Ввод группы штрих-кодов для возврата экземпляров».</w:t>
      </w:r>
    </w:p>
    <w:p>
      <w:pPr>
        <w:pStyle w:val="FirstParagraph"/>
      </w:pPr>
      <w:r>
        <w:t xml:space="preserve">В формы можно вводить данные сканером штрих-кодов или вручную с клавиатуры.</w:t>
      </w:r>
    </w:p>
    <w:bookmarkEnd w:id="16"/>
    <w:bookmarkStart w:id="17" w:name="идентификация-читателя"/>
    <w:p>
      <w:pPr>
        <w:pStyle w:val="Heading3"/>
      </w:pPr>
      <w:r>
        <w:t xml:space="preserve">2. Идентификация читателя</w:t>
      </w:r>
    </w:p>
    <w:p>
      <w:pPr>
        <w:pStyle w:val="FirstParagraph"/>
      </w:pPr>
      <w:r>
        <w:t xml:space="preserve">Операция книговыдачи начинается с идентификации читателя. Для этого нужно считать штрих-код читательского билета в одну из форм выдачи/возврата.</w:t>
      </w:r>
    </w:p>
    <w:p>
      <w:pPr>
        <w:pStyle w:val="BodyText"/>
      </w:pPr>
      <w:r>
        <w:t xml:space="preserve">После успешной идентификации:</w:t>
      </w:r>
    </w:p>
    <w:p>
      <w:pPr>
        <w:pStyle w:val="Compact"/>
        <w:numPr>
          <w:ilvl w:val="0"/>
          <w:numId w:val="1003"/>
        </w:numPr>
      </w:pPr>
      <w:r>
        <w:t xml:space="preserve">в форме «Текущий читатель» отображается описание читателя;</w:t>
      </w:r>
    </w:p>
    <w:p>
      <w:pPr>
        <w:pStyle w:val="Compact"/>
        <w:numPr>
          <w:ilvl w:val="0"/>
          <w:numId w:val="1003"/>
        </w:numPr>
      </w:pPr>
      <w:r>
        <w:t xml:space="preserve">если у читателя есть издания на руках, они отображаются в форме «Издания на руках у читателя».</w:t>
      </w:r>
    </w:p>
    <w:p>
      <w:pPr>
        <w:pStyle w:val="FirstParagraph"/>
      </w:pPr>
      <w:r>
        <w:t xml:space="preserve">Для идентификации можно использовать номер читательского билета из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но этот вариант менее удобен: номер вводится с клавиатуры и завершается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Идентификаторы читателей не должны пересекаться с инвентарными номерами или штрих-кодами экземпляров. Если один и тот же код может быть и читателем, и экземпляром, система не сможет однозначно определить требуемое действие.</w:t>
      </w:r>
    </w:p>
    <w:p>
      <w:pPr>
        <w:pStyle w:val="BodyText"/>
      </w:pPr>
      <w:r>
        <w:t xml:space="preserve">Для ускорения распознавания можно использовать префикс штрих-кодов читателей, если он настроен в параметрах книговыдачи. Например, если штрих-коды изданий начинаются с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читательские билеты с</w:t>
      </w:r>
      <w:r>
        <w:t xml:space="preserve"> </w:t>
      </w:r>
      <w:r>
        <w:rPr>
          <w:rStyle w:val="VerbatimChar"/>
        </w:rPr>
        <w:t xml:space="preserve">2</w:t>
      </w:r>
      <w:r>
        <w:t xml:space="preserve">, префикс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позволяет отличить читателя от экземпляра.</w:t>
      </w:r>
    </w:p>
    <w:bookmarkEnd w:id="17"/>
    <w:bookmarkStart w:id="18" w:name="выдача-экземпляра"/>
    <w:p>
      <w:pPr>
        <w:pStyle w:val="Heading3"/>
      </w:pPr>
      <w:r>
        <w:t xml:space="preserve">3. Выдача экземпляра</w:t>
      </w:r>
    </w:p>
    <w:p>
      <w:pPr>
        <w:pStyle w:val="FirstParagraph"/>
      </w:pPr>
      <w:r>
        <w:t xml:space="preserve">Для выдачи текущему читателю экземпляра по штрих-коду нужно считать штрих-код экземпляра в форму выдачи.</w:t>
      </w:r>
    </w:p>
    <w:p>
      <w:pPr>
        <w:pStyle w:val="BodyText"/>
      </w:pPr>
      <w:r>
        <w:t xml:space="preserve">При успешной выдаче система:</w:t>
      </w:r>
    </w:p>
    <w:p>
      <w:pPr>
        <w:pStyle w:val="Compact"/>
        <w:numPr>
          <w:ilvl w:val="0"/>
          <w:numId w:val="1004"/>
        </w:numPr>
      </w:pPr>
      <w:r>
        <w:t xml:space="preserve">оформляет выдачу в записи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фиксирует сведения об экземпляре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добавляет выданное издание в форму «Издания на руках у читателя».</w:t>
      </w:r>
    </w:p>
    <w:p>
      <w:pPr>
        <w:pStyle w:val="FirstParagraph"/>
      </w:pPr>
      <w:r>
        <w:t xml:space="preserve">Если текущий читатель лишен права пользования библиотекой или экземпляр не может быть выдан, система должна показать диагностическое сообщение и не оформлять выдачу.</w:t>
      </w:r>
    </w:p>
    <w:bookmarkEnd w:id="18"/>
    <w:bookmarkStart w:id="19" w:name="выдача-номеров-периодических-изданий"/>
    <w:p>
      <w:pPr>
        <w:pStyle w:val="Heading3"/>
      </w:pPr>
      <w:r>
        <w:t xml:space="preserve">4. Выдача номеров периодических изданий</w:t>
      </w:r>
    </w:p>
    <w:p>
      <w:pPr>
        <w:pStyle w:val="FirstParagraph"/>
      </w:pPr>
      <w:r>
        <w:t xml:space="preserve">Если поиск находит общее описание периодического издания, АРМ открывает окно выбора номеров. Для такого списка доступно поле «Год»: укажите год выпуска, чтобы оставить в таблице только номера выбранного года.</w:t>
      </w:r>
    </w:p>
    <w:p>
      <w:pPr>
        <w:pStyle w:val="BodyText"/>
      </w:pPr>
      <w:r>
        <w:t xml:space="preserve">При загрузке страницы номеров АРМ заранее проверяет доступные экземпляры для видимых строк и заполняет первый подходящий экземпляр. Оператор может изменить выбор вручную, снять лишние строки или отметить несколько номеров и выполнить массовую выдачу одной командой.</w:t>
      </w:r>
    </w:p>
    <w:p>
      <w:pPr>
        <w:pStyle w:val="BodyText"/>
      </w:pPr>
      <w:r>
        <w:t xml:space="preserve">Если у номера нет доступного экземпляра, строка остается без автоматического выбора. Такой номер не будет выдан, пока оператор не выберет подходящий экземпляр вручную или не изменит условия поиска.</w:t>
      </w:r>
    </w:p>
    <w:bookmarkEnd w:id="19"/>
    <w:bookmarkStart w:id="20" w:name="возврат-экземпляра"/>
    <w:p>
      <w:pPr>
        <w:pStyle w:val="Heading3"/>
      </w:pPr>
      <w:r>
        <w:t xml:space="preserve">5. Возврат экземпляра</w:t>
      </w:r>
    </w:p>
    <w:p>
      <w:pPr>
        <w:pStyle w:val="FirstParagraph"/>
      </w:pPr>
      <w:r>
        <w:t xml:space="preserve">Для возврата экземпляра нужно считать штрих-код в форму возврата.</w:t>
      </w:r>
    </w:p>
    <w:p>
      <w:pPr>
        <w:pStyle w:val="BodyText"/>
      </w:pPr>
      <w:r>
        <w:t xml:space="preserve">При успешном возврате система:</w:t>
      </w:r>
    </w:p>
    <w:p>
      <w:pPr>
        <w:pStyle w:val="Compact"/>
        <w:numPr>
          <w:ilvl w:val="0"/>
          <w:numId w:val="1005"/>
        </w:numPr>
      </w:pPr>
      <w:r>
        <w:t xml:space="preserve">вносит дату фактического возврата в запись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освобождает экземпляр в электронном каталоге;</w:t>
      </w:r>
    </w:p>
    <w:p>
      <w:pPr>
        <w:pStyle w:val="Compact"/>
        <w:numPr>
          <w:ilvl w:val="0"/>
          <w:numId w:val="1005"/>
        </w:numPr>
      </w:pPr>
      <w:r>
        <w:t xml:space="preserve">обновляет список изданий на руках у текущего читателя.</w:t>
      </w:r>
    </w:p>
    <w:p>
      <w:pPr>
        <w:pStyle w:val="FirstParagraph"/>
      </w:pPr>
      <w:r>
        <w:t xml:space="preserve">Если экземпляр не числится за текущим читателем, система выполняет проверку и может показать список читателей, за которыми числится это издание. В этом случае оператор выбирает нужного читателя и продолжает обработку.</w:t>
      </w:r>
    </w:p>
    <w:bookmarkEnd w:id="20"/>
    <w:bookmarkStart w:id="21" w:name="одно-окно-ввода"/>
    <w:p>
      <w:pPr>
        <w:pStyle w:val="Heading3"/>
      </w:pPr>
      <w:r>
        <w:t xml:space="preserve">6. Одно окно ввода</w:t>
      </w:r>
    </w:p>
    <w:p>
      <w:pPr>
        <w:pStyle w:val="FirstParagraph"/>
      </w:pPr>
      <w:r>
        <w:t xml:space="preserve">Для библиотек с индивидуальным учетом экземпляров поддерживается ускоренная технология одного окна ввода. В этом режиме оператор последовательно считывает:</w:t>
      </w:r>
    </w:p>
    <w:p>
      <w:pPr>
        <w:pStyle w:val="Compact"/>
        <w:numPr>
          <w:ilvl w:val="0"/>
          <w:numId w:val="1006"/>
        </w:numPr>
      </w:pPr>
      <w:r>
        <w:t xml:space="preserve">штрих-код читательского билета;</w:t>
      </w:r>
    </w:p>
    <w:p>
      <w:pPr>
        <w:pStyle w:val="Compact"/>
        <w:numPr>
          <w:ilvl w:val="0"/>
          <w:numId w:val="1006"/>
        </w:numPr>
      </w:pPr>
      <w:r>
        <w:t xml:space="preserve">штрих-коды экземпляров.</w:t>
      </w:r>
    </w:p>
    <w:p>
      <w:pPr>
        <w:pStyle w:val="FirstParagraph"/>
      </w:pPr>
      <w:r>
        <w:t xml:space="preserve">Если экземпляр уже числится за текущим читателем, выполняется возврат. Если экземпляр свободен, выполняется выдача.</w:t>
      </w:r>
    </w:p>
    <w:p>
      <w:pPr>
        <w:pStyle w:val="BodyText"/>
      </w:pPr>
      <w:r>
        <w:t xml:space="preserve">Технология одного окна неприменима для группового учета, если по одному штрих-коду невозможно определить, выполняется возврат или выдача еще одного экземпляра того же издания.</w:t>
      </w:r>
    </w:p>
    <w:bookmarkEnd w:id="21"/>
    <w:bookmarkStart w:id="22" w:name="групповая-выдача-и-возврат"/>
    <w:p>
      <w:pPr>
        <w:pStyle w:val="Heading3"/>
      </w:pPr>
      <w:r>
        <w:t xml:space="preserve">7. Групповая выдача и возврат</w:t>
      </w:r>
    </w:p>
    <w:p>
      <w:pPr>
        <w:pStyle w:val="FirstParagraph"/>
      </w:pPr>
      <w:r>
        <w:t xml:space="preserve">Для выдачи или возврата нескольких экземпляров используется ввод группы штрих-кодов. Оператор считывает штрих-коды в соответствующую форму и запускает обработку группы.</w:t>
      </w:r>
    </w:p>
    <w:p>
      <w:pPr>
        <w:pStyle w:val="BodyText"/>
      </w:pPr>
      <w:r>
        <w:t xml:space="preserve">При успешной обработке:</w:t>
      </w:r>
    </w:p>
    <w:p>
      <w:pPr>
        <w:pStyle w:val="Compact"/>
        <w:numPr>
          <w:ilvl w:val="0"/>
          <w:numId w:val="1007"/>
        </w:numPr>
      </w:pPr>
      <w:r>
        <w:t xml:space="preserve">для выдачи экземпляры появляются в форме «Издания на руках у читателя»;</w:t>
      </w:r>
    </w:p>
    <w:p>
      <w:pPr>
        <w:pStyle w:val="Compact"/>
        <w:numPr>
          <w:ilvl w:val="0"/>
          <w:numId w:val="1007"/>
        </w:numPr>
      </w:pPr>
      <w:r>
        <w:t xml:space="preserve">для возврата экземпляры списываются с читателя и освобождаются в электронном каталоге.</w:t>
      </w:r>
    </w:p>
    <w:p>
      <w:pPr>
        <w:pStyle w:val="FirstParagraph"/>
      </w:pPr>
      <w:r>
        <w:t xml:space="preserve">Если часть экземпляров не удалось обработать, система показывает сообщение с перечнем проблемных штрих-кодов или причин отказа.</w:t>
      </w:r>
    </w:p>
    <w:bookmarkEnd w:id="22"/>
    <w:bookmarkStart w:id="23" w:name="проверка-принадлежности-экземпляра"/>
    <w:p>
      <w:pPr>
        <w:pStyle w:val="Heading3"/>
      </w:pPr>
      <w:r>
        <w:t xml:space="preserve">8. Проверка принадлежности экземпляра</w:t>
      </w:r>
    </w:p>
    <w:p>
      <w:pPr>
        <w:pStyle w:val="FirstParagraph"/>
      </w:pPr>
      <w:r>
        <w:t xml:space="preserve">Форма проверки по штрих-коду позволяет выяснить, у какого читателя находится экземпляр. Это полезно, когда найденный экземпляр возвращается не тем читателем, за которым он числится, или когда нужно уточнить владельца экземпляра.</w:t>
      </w:r>
    </w:p>
    <w:p>
      <w:pPr>
        <w:pStyle w:val="BodyText"/>
      </w:pPr>
      <w:r>
        <w:t xml:space="preserve">Проверка наиболее эффективна для экземпляров индивидуального учета, поскольку такой экземпляр может быть выдан только одному читателю.</w:t>
      </w:r>
    </w:p>
    <w:bookmarkEnd w:id="23"/>
    <w:bookmarkEnd w:id="24"/>
    <w:bookmarkStart w:id="44" w:name="форма-выдача-без-заказа"/>
    <w:p>
      <w:pPr>
        <w:pStyle w:val="Heading2"/>
      </w:pPr>
      <w:r>
        <w:t xml:space="preserve">Форма «Выдача без заказа»</w:t>
      </w:r>
    </w:p>
    <w:p>
      <w:pPr>
        <w:pStyle w:val="FirstParagraph"/>
      </w:pPr>
      <w:r>
        <w:t xml:space="preserve">Форма используется для поиска изданий в базах данных электронного каталога, когда выдача выполняется без предварительного заказа читателя.</w:t>
      </w:r>
    </w:p>
    <w:p>
      <w:pPr>
        <w:pStyle w:val="CaptionedFigure"/>
      </w:pPr>
      <w:r>
        <w:drawing>
          <wp:inline>
            <wp:extent cx="3128210" cy="3465094"/>
            <wp:effectExtent b="0" l="0" r="0" t="0"/>
            <wp:docPr descr="Рисунок 1 - Форма «Выдача без заказа»" title="Форма «Выдача без заказа»" id="26" name="Picture"/>
            <a:graphic>
              <a:graphicData uri="http://schemas.openxmlformats.org/drawingml/2006/picture">
                <pic:pic>
                  <pic:nvPicPr>
                    <pic:cNvPr descr="modules/Bookland/Help/Interface/BooklandIssueWithoutOrder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8210" cy="34650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«Выдача без заказа»</w:t>
      </w:r>
    </w:p>
    <w:p>
      <w:pPr>
        <w:pStyle w:val="BodyText"/>
      </w:pPr>
      <w:r>
        <w:t xml:space="preserve">Перед выдачей должен быть выбран текущий читатель. Поиск издания выполняется через поле формы «Выдача без заказа»: оператор выбирает вид поиска, вводит или сканирует значение и запускает поиск. Если найденная запись и экземпляр подходят для выдачи, система оформляет выдачу текущему читателю.</w:t>
      </w:r>
    </w:p>
    <w:bookmarkStart w:id="32" w:name="режим-выдачи-на-бронеполку"/>
    <w:p>
      <w:pPr>
        <w:pStyle w:val="Heading3"/>
      </w:pPr>
      <w:r>
        <w:t xml:space="preserve">1. Режим выдачи на бронеполку</w:t>
      </w:r>
    </w:p>
    <w:p>
      <w:pPr>
        <w:pStyle w:val="FirstParagraph"/>
      </w:pPr>
      <w:r>
        <w:t xml:space="preserve">Кнопка «Выдача на бронеполку» на верхней панели АРМа переключает форму «Выдача без заказа» из обычной выдачи в режим бронирования экземпляров за текущим читателем.</w:t>
      </w:r>
    </w:p>
    <w:p>
      <w:pPr>
        <w:pStyle w:val="CaptionedFigure"/>
      </w:pPr>
      <w:r>
        <w:drawing>
          <wp:inline>
            <wp:extent cx="5334000" cy="3225209"/>
            <wp:effectExtent b="0" l="0" r="0" t="0"/>
            <wp:docPr descr="Рисунок 2 - Включенный режим выдачи на бронеполку" title="Включенный режим выдачи на бронеполку" id="29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-mode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52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Включенный режим выдачи на бронеполку</w:t>
      </w:r>
    </w:p>
    <w:p>
      <w:pPr>
        <w:pStyle w:val="BodyText"/>
      </w:pPr>
      <w:r>
        <w:t xml:space="preserve">После включения режима заголовок поля ввода меняется на «Ввод штрих-кода для БРОНИРОВАНИЯ экземпляра», а форма поиска - на «БРОНИРОВАНИЕ без заказа». В этом состоянии сканирование штрих-кода, ввод инвентарного номера или поиск издания не оформляет выдачу на руки, а помещает найденный свободный экземпляр на бронеполку для выбранного читателя.</w:t>
      </w:r>
    </w:p>
    <w:p>
      <w:pPr>
        <w:pStyle w:val="BodyText"/>
      </w:pPr>
      <w:r>
        <w:t xml:space="preserve">Если найдено несколько записей или несколько подходящих экземпляров, открываются те же окна выбора записи и экземпляра, что и при обычной выдаче без заказа. В режиме бронирования кнопка массовой обработки в окне «Издания» называется «Забронировать все отмеченные», а двойной щелчок по строке бронирует выбранный экземпляр. Новая бронь получает статус бронирования по умолчанию из профиля книговыдачи</w:t>
      </w:r>
      <w:r>
        <w:t xml:space="preserve"> </w:t>
      </w:r>
      <w:r>
        <w:rPr>
          <w:rStyle w:val="VerbatimChar"/>
        </w:rPr>
        <w:t xml:space="preserve">BRDefaultStatus</w:t>
      </w:r>
      <w:r>
        <w:t xml:space="preserve">.</w:t>
      </w:r>
    </w:p>
    <w:p>
      <w:pPr>
        <w:pStyle w:val="BodyText"/>
      </w:pPr>
      <w:r>
        <w:t xml:space="preserve">Для выхода из режима повторно нажмите «Выдача на бронеполку». Заголовки возвращаются к обычной выдаче, и следующие операции снова оформляют экземпляры на руки. Забронированные таким способом записи дальше отображаются и обрабатываются в форме</w:t>
      </w:r>
      <w:r>
        <w:t xml:space="preserve"> </w:t>
      </w:r>
      <w:hyperlink r:id="rId31">
        <w:r>
          <w:rPr>
            <w:rStyle w:val="Hyperlink"/>
          </w:rPr>
          <w:t xml:space="preserve">«Бронеполка»</w:t>
        </w:r>
      </w:hyperlink>
      <w:r>
        <w:t xml:space="preserve">.</w:t>
      </w:r>
    </w:p>
    <w:bookmarkEnd w:id="32"/>
    <w:bookmarkStart w:id="33" w:name="Xc978ffd30fd5fe55d01d53bfc579abecff987c5"/>
    <w:p>
      <w:pPr>
        <w:pStyle w:val="Heading3"/>
      </w:pPr>
      <w:r>
        <w:t xml:space="preserve">2. Выдача по инвентарному номеру или штрих-коду</w:t>
      </w:r>
    </w:p>
    <w:p>
      <w:pPr>
        <w:pStyle w:val="FirstParagraph"/>
      </w:pPr>
      <w:r>
        <w:t xml:space="preserve">Если поиск выполняется по инвентарному номеру или штрих-коду экземпляра, АРМ может автоматически выбрать подходящий экземпляр без открытия окна выбора. Это ускоряет работу со сканером: оператор считывает штрих-код, а система сразу фиксирует выдачу, если найден один доступный экземпляр.</w:t>
      </w:r>
    </w:p>
    <w:p>
      <w:pPr>
        <w:pStyle w:val="BodyText"/>
      </w:pPr>
      <w:r>
        <w:t xml:space="preserve">Автоматический выбор выполняется только при одновременном выполнении условий:</w:t>
      </w:r>
    </w:p>
    <w:p>
      <w:pPr>
        <w:pStyle w:val="Compact"/>
        <w:numPr>
          <w:ilvl w:val="0"/>
          <w:numId w:val="1008"/>
        </w:numPr>
      </w:pPr>
      <w:r>
        <w:t xml:space="preserve">в настройках модуля включена опция «Автоматически выбирать экземпляр при поиске по инвентарному номеру/штрих-коду»;</w:t>
      </w:r>
    </w:p>
    <w:p>
      <w:pPr>
        <w:pStyle w:val="Compact"/>
        <w:numPr>
          <w:ilvl w:val="0"/>
          <w:numId w:val="1008"/>
        </w:numPr>
      </w:pPr>
      <w:r>
        <w:t xml:space="preserve">поисковое выражение начинается с префикса, заданного для инвентарного номера или штрих-кода экземпляра;</w:t>
      </w:r>
    </w:p>
    <w:p>
      <w:pPr>
        <w:pStyle w:val="Compact"/>
        <w:numPr>
          <w:ilvl w:val="0"/>
          <w:numId w:val="1008"/>
        </w:numPr>
      </w:pPr>
      <w:r>
        <w:t xml:space="preserve">найденная запись содержит один подходящий экземпляр с указанным инвентарным номером или штрих-кодом;</w:t>
      </w:r>
    </w:p>
    <w:p>
      <w:pPr>
        <w:pStyle w:val="Compact"/>
        <w:numPr>
          <w:ilvl w:val="0"/>
          <w:numId w:val="1008"/>
        </w:numPr>
      </w:pPr>
      <w:r>
        <w:t xml:space="preserve">экземпляр доступен для текущего места выдачи и не запрещен фильтрами книговыдачи.</w:t>
      </w:r>
    </w:p>
    <w:p>
      <w:pPr>
        <w:pStyle w:val="FirstParagraph"/>
      </w:pPr>
      <w:r>
        <w:t xml:space="preserve">Если поиск выполняется по заглавию, автору или другому общему признаку, автоматический выбор экземпляра не применяется: система не считает такой запрос однозначной идентификацией экземпляра.</w:t>
      </w:r>
    </w:p>
    <w:bookmarkEnd w:id="33"/>
    <w:bookmarkStart w:id="37" w:name="когда-открывается-окно-выбора-записи"/>
    <w:p>
      <w:pPr>
        <w:pStyle w:val="Heading3"/>
      </w:pPr>
      <w:r>
        <w:t xml:space="preserve">3. Когда открывается окно выбора записи</w:t>
      </w:r>
    </w:p>
    <w:p>
      <w:pPr>
        <w:pStyle w:val="FirstParagraph"/>
      </w:pPr>
      <w:r>
        <w:t xml:space="preserve">Окно «Издания» открывается, если поисковый запрос нашел несколько записей электронного каталога. Это окно используется для выбора конкретного издания перед выдачей без заказа.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3 - Окно выбора записи издания" title="Окно выбора записи издания" id="35" name="Picture"/>
            <a:graphic>
              <a:graphicData uri="http://schemas.openxmlformats.org/drawingml/2006/picture">
                <pic:pic>
                  <pic:nvPicPr>
                    <pic:cNvPr descr="modules/Bookland/Help/Interface/img/bookland-book-select-window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записи издания</w:t>
      </w:r>
    </w:p>
    <w:p>
      <w:pPr>
        <w:pStyle w:val="BodyText"/>
      </w:pPr>
      <w:r>
        <w:t xml:space="preserve">В окне отображается таблица найденных записей. Основные колонки:</w:t>
      </w:r>
    </w:p>
    <w:p>
      <w:pPr>
        <w:pStyle w:val="Compact"/>
        <w:numPr>
          <w:ilvl w:val="0"/>
          <w:numId w:val="1009"/>
        </w:numPr>
      </w:pPr>
      <w:r>
        <w:t xml:space="preserve">«Описание» - краткое библиографическое описание найденной записи;</w:t>
      </w:r>
    </w:p>
    <w:p>
      <w:pPr>
        <w:pStyle w:val="Compact"/>
        <w:numPr>
          <w:ilvl w:val="0"/>
          <w:numId w:val="1009"/>
        </w:numPr>
      </w:pPr>
      <w:r>
        <w:t xml:space="preserve">«Выбор экземпляра» - выпадающий список экземпляров выбранной записи.</w:t>
      </w:r>
    </w:p>
    <w:p>
      <w:pPr>
        <w:pStyle w:val="FirstParagraph"/>
      </w:pPr>
      <w:r>
        <w:t xml:space="preserve">При выборе строки АРМ загружает список экземпляров этой записи в колонку «Выбор экземпляра». В выпадающем списке показываются номер повторения экземпляра, место хранения, штрих-код и инвентарный номер. Если подходящих экземпляров нет, в поле выводится сообщение об ошибке загрузки или отсутствии доступных экземпляров.</w:t>
      </w:r>
    </w:p>
    <w:p>
      <w:pPr>
        <w:pStyle w:val="BodyText"/>
      </w:pPr>
      <w:r>
        <w:t xml:space="preserve">Чтобы выдать одно издание, выберите строку, при необходимости выберите экземпляр в колонке «Выбор экземпляра» и дважды щелкните по строке. Если в колонке указан конкретный экземпляр, АРМ оформит выдачу именно его. Если экземпляр не выбран, АРМ попытается определить подходящий экземпляр автоматически или откроет окно выбора экземпляра.</w:t>
      </w:r>
    </w:p>
    <w:p>
      <w:pPr>
        <w:pStyle w:val="BodyText"/>
      </w:pPr>
      <w:r>
        <w:t xml:space="preserve">Кнопка «Выдать все отмеченные» используется для массовой выдачи из окна «Издания». Перед нажатием нужно отметить нужные строки и выбрать экземпляр для каждой отмеченной записи. Если строки не отмечены или для отмеченных записей не выбран экземпляр, АРМ показывает сообщение об ошибке и выдача не выполняется.</w:t>
      </w:r>
    </w:p>
    <w:bookmarkEnd w:id="37"/>
    <w:bookmarkStart w:id="41" w:name="когда-открывается-окно-выбора-экземпляра"/>
    <w:p>
      <w:pPr>
        <w:pStyle w:val="Heading3"/>
      </w:pPr>
      <w:r>
        <w:t xml:space="preserve">4. Когда открывается окно выбора экземпляра</w:t>
      </w:r>
    </w:p>
    <w:p>
      <w:pPr>
        <w:pStyle w:val="FirstParagraph"/>
      </w:pPr>
      <w:r>
        <w:t xml:space="preserve">Окно «Выбор экземпляра для выдачи» открывается, если найденная запись содержит несколько подходящих экземпляров или если запрос не позволяет однозначно определить нужный экземпляр. Это окно также может открыться после выбора записи в окне «Издания», если экземпляр не был выбран заранее.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4 - Окно выбора экземпляра для выдачи" title="Окно выбора экземпляра для выдачи" id="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выбора экземпляра для выдачи</w:t>
      </w:r>
    </w:p>
    <w:p>
      <w:pPr>
        <w:pStyle w:val="BodyText"/>
      </w:pPr>
      <w:r>
        <w:t xml:space="preserve">В окне отображается таблица экземпляров выбранного издания. Основные колонки:</w:t>
      </w:r>
    </w:p>
    <w:p>
      <w:pPr>
        <w:pStyle w:val="Compact"/>
        <w:numPr>
          <w:ilvl w:val="0"/>
          <w:numId w:val="1010"/>
        </w:numPr>
      </w:pPr>
      <w:r>
        <w:t xml:space="preserve">«Статус» - текущий статус экземпляра;</w:t>
      </w:r>
    </w:p>
    <w:p>
      <w:pPr>
        <w:pStyle w:val="Compact"/>
        <w:numPr>
          <w:ilvl w:val="0"/>
          <w:numId w:val="1010"/>
        </w:numPr>
      </w:pPr>
      <w:r>
        <w:t xml:space="preserve">«Место хранения»;</w:t>
      </w:r>
    </w:p>
    <w:p>
      <w:pPr>
        <w:pStyle w:val="Compact"/>
        <w:numPr>
          <w:ilvl w:val="0"/>
          <w:numId w:val="1010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10"/>
        </w:numPr>
      </w:pPr>
      <w:r>
        <w:t xml:space="preserve">«Штрих код»;</w:t>
      </w:r>
    </w:p>
    <w:p>
      <w:pPr>
        <w:pStyle w:val="Compact"/>
        <w:numPr>
          <w:ilvl w:val="0"/>
          <w:numId w:val="1010"/>
        </w:numPr>
      </w:pPr>
      <w:r>
        <w:t xml:space="preserve">«Свободных экземпляров»;</w:t>
      </w:r>
    </w:p>
    <w:p>
      <w:pPr>
        <w:pStyle w:val="Compact"/>
        <w:numPr>
          <w:ilvl w:val="0"/>
          <w:numId w:val="1010"/>
        </w:numPr>
      </w:pPr>
      <w:r>
        <w:t xml:space="preserve">«Число экземпляров для выдачи».</w:t>
      </w:r>
    </w:p>
    <w:p>
      <w:pPr>
        <w:pStyle w:val="FirstParagraph"/>
      </w:pPr>
      <w:r>
        <w:t xml:space="preserve">Система автоматически выделяет первый доступный экземпляр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. Если экземпляров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нет, выделяется первая строка списка. Перед подтверждением нужно проверить статус, место хранения, инвентарный номер и штрих-код.</w:t>
      </w:r>
    </w:p>
    <w:p>
      <w:pPr>
        <w:pStyle w:val="BodyText"/>
      </w:pPr>
      <w:r>
        <w:t xml:space="preserve">Чтобы подтвердить выбор, дважды щелкните по строке экземпляра или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 выделенной строке. После подтверждения окно закрывается, АРМ оформляет выдачу выбранного экземпляра текущему читателю и обновляет область читателя и формуляр.</w:t>
      </w:r>
    </w:p>
    <w:bookmarkEnd w:id="41"/>
    <w:bookmarkStart w:id="43" w:name="настройка-поведения"/>
    <w:p>
      <w:pPr>
        <w:pStyle w:val="Heading3"/>
      </w:pPr>
      <w:r>
        <w:t xml:space="preserve">5. Настройка поведения</w:t>
      </w:r>
    </w:p>
    <w:p>
      <w:pPr>
        <w:pStyle w:val="FirstParagraph"/>
      </w:pPr>
      <w:r>
        <w:t xml:space="preserve">Автоматический выбор управляется параметром АРМ «Книговыдача». Он находится в АРМ «Администратор» в настройках модуля «Книговыдача», в разделе «Настройка полей, подполей и поисковых префиксов» -&gt; «Настройка поля экземпляров в БД с изданиями». Подробное описание настройки приведено на странице</w:t>
      </w:r>
      <w:r>
        <w:t xml:space="preserve"> </w:t>
      </w:r>
      <w:hyperlink r:id="rId42">
        <w:r>
          <w:rPr>
            <w:rStyle w:val="Hyperlink"/>
          </w:rPr>
          <w:t xml:space="preserve">«Настройки»</w:t>
        </w:r>
      </w:hyperlink>
      <w:r>
        <w:t xml:space="preserve">.</w:t>
      </w:r>
    </w:p>
    <w:p>
      <w:pPr>
        <w:pStyle w:val="BodyText"/>
      </w:pPr>
      <w:r>
        <w:t xml:space="preserve">Если в профиле включен строгий контроль заказов</w:t>
      </w:r>
      <w:r>
        <w:t xml:space="preserve"> </w:t>
      </w:r>
      <w:r>
        <w:rPr>
          <w:rStyle w:val="VerbatimChar"/>
        </w:rPr>
        <w:t xml:space="preserve">rqststrong</w:t>
      </w:r>
      <w:r>
        <w:t xml:space="preserve">, выдача без заказа запрещена. В этом случае выдавайте экземпляр из списка заказов.</w:t>
      </w:r>
    </w:p>
    <w:bookmarkEnd w:id="43"/>
    <w:bookmarkEnd w:id="44"/>
    <w:bookmarkStart w:id="52" w:name="форма-настройки"/>
    <w:p>
      <w:pPr>
        <w:pStyle w:val="Heading2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46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51" w:name="фильтры-книговыдачи"/>
    <w:p>
      <w:pPr>
        <w:pStyle w:val="Heading3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49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1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1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1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11"/>
        </w:numPr>
      </w:pPr>
      <w:r>
        <w:t xml:space="preserve">«Штрих-код»;</w:t>
      </w:r>
    </w:p>
    <w:p>
      <w:pPr>
        <w:pStyle w:val="Compact"/>
        <w:numPr>
          <w:ilvl w:val="0"/>
          <w:numId w:val="101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51"/>
    <w:bookmarkEnd w:id="52"/>
    <w:bookmarkStart w:id="81" w:name="форма-поиск-читателя"/>
    <w:p>
      <w:pPr>
        <w:pStyle w:val="Heading2"/>
      </w:pPr>
      <w:r>
        <w:t xml:space="preserve">Форма «Поиск читателя»</w:t>
      </w:r>
    </w:p>
    <w:p>
      <w:pPr>
        <w:pStyle w:val="FirstParagraph"/>
      </w:pPr>
      <w:r>
        <w:t xml:space="preserve">Форма предназначена для быстрого поиска читателя и перехода к его записи.</w:t>
      </w:r>
    </w:p>
    <w:p>
      <w:pPr>
        <w:pStyle w:val="CaptionedFigure"/>
      </w:pPr>
      <w:r>
        <w:drawing>
          <wp:inline>
            <wp:extent cx="3205212" cy="2261936"/>
            <wp:effectExtent b="0" l="0" r="0" t="0"/>
            <wp:docPr descr="Рисунок 1 - Форма «Поиск читателя»" title="Форма «Поиск читателя»" id="5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arch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5212" cy="22619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«Поиск читателя»</w:t>
      </w:r>
    </w:p>
    <w:p>
      <w:pPr>
        <w:pStyle w:val="BodyText"/>
      </w:pPr>
      <w:r>
        <w:t xml:space="preserve">Читателя можно искать по идентификатору, читательскому билету или другим индексам базы читателей, настроенным в профиле. После выбора записи АРМ загружает карточку текущего читателя, активирует команды обслуживания и показывает список изданий на руках.</w:t>
      </w:r>
    </w:p>
    <w:bookmarkStart w:id="59" w:name="когда-открывается-окно-выбора-записи-1"/>
    <w:p>
      <w:pPr>
        <w:pStyle w:val="Heading3"/>
      </w:pPr>
      <w:r>
        <w:t xml:space="preserve">1. Когда открывается окно выбора записи</w:t>
      </w:r>
    </w:p>
    <w:p>
      <w:pPr>
        <w:pStyle w:val="FirstParagraph"/>
      </w:pPr>
      <w:r>
        <w:t xml:space="preserve">Окно «Читатели» открывается, если поисковый запрос соответствует нескольким записям базы читателей. В окне отображается список найденных читателей. Основная колонка «Desc» содержит краткое описание записи; служебная колонка с идентификатором читателя используется АРМ и обычно скрыта.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2 - Окно выбора записи читателя" title="Окно выбора записи читателя" id="57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lect-window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записи читателя</w:t>
      </w:r>
    </w:p>
    <w:p>
      <w:pPr>
        <w:pStyle w:val="BodyText"/>
      </w:pPr>
      <w:r>
        <w:t xml:space="preserve">Чтобы выбрать текущего читателя, дважды щелкните по нужной строке. После этого окно закрывается, выбранная запись загружается в панель «Текущий читатель», а в форме «Издания на руках у читателя» появляется формуляр выбранного читателя.</w:t>
      </w:r>
    </w:p>
    <w:bookmarkEnd w:id="59"/>
    <w:bookmarkStart w:id="80" w:name="действия-окна-читатели"/>
    <w:p>
      <w:pPr>
        <w:pStyle w:val="Heading3"/>
      </w:pPr>
      <w:r>
        <w:t xml:space="preserve">2. Действия окна «Читатели»</w:t>
      </w:r>
    </w:p>
    <w:p>
      <w:pPr>
        <w:pStyle w:val="FirstParagraph"/>
      </w:pPr>
      <w:r>
        <w:t xml:space="preserve">В верхней панели окна доступны действия над найденными или отмеченными записями. Большинство действий сначала открывает форму параметров. В ней выбирается область обработки:</w:t>
      </w:r>
    </w:p>
    <w:p>
      <w:pPr>
        <w:pStyle w:val="Compact"/>
        <w:numPr>
          <w:ilvl w:val="0"/>
          <w:numId w:val="1012"/>
        </w:numPr>
      </w:pPr>
      <w:r>
        <w:t xml:space="preserve">«Все» - обработать все найденные записи;</w:t>
      </w:r>
    </w:p>
    <w:p>
      <w:pPr>
        <w:pStyle w:val="Compact"/>
        <w:numPr>
          <w:ilvl w:val="0"/>
          <w:numId w:val="1012"/>
        </w:numPr>
      </w:pPr>
      <w:r>
        <w:t xml:space="preserve">«Отмеченные на текущей странице» - обработать только отмеченные строки;</w:t>
      </w:r>
    </w:p>
    <w:p>
      <w:pPr>
        <w:pStyle w:val="Compact"/>
        <w:numPr>
          <w:ilvl w:val="0"/>
          <w:numId w:val="1012"/>
        </w:numPr>
      </w:pPr>
      <w:r>
        <w:t xml:space="preserve">«Кроме отмеченных» - обработать найденные записи, кроме отмеченных.</w:t>
      </w:r>
    </w:p>
    <w:p>
      <w:pPr>
        <w:pStyle w:val="FirstParagraph"/>
      </w:pPr>
      <w:r>
        <w:t xml:space="preserve">Кнопка «Статистические формы» открывает окно выбора статистической формы. В окне нужно выбрать область обработки и статистическую форму из списка. Кнопка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строит выбранную статистику, кнопка «Отмена» закрывает окно без выполнения. Результат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3 - Окно выбора статистической формы" title="Окно выбора статистической формы" id="6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statform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статистической формы</w:t>
      </w:r>
    </w:p>
    <w:p>
      <w:pPr>
        <w:pStyle w:val="BodyText"/>
      </w:pPr>
      <w:r>
        <w:t xml:space="preserve">Кнопка «Статистика спроса» открывает похожее окно построения статистики спроса. В нем выбирается область обработки и таблица статистики по настроенным формам</w:t>
      </w:r>
      <w:r>
        <w:t xml:space="preserve"> </w:t>
      </w:r>
      <w:r>
        <w:rPr>
          <w:rStyle w:val="VerbatimChar"/>
        </w:rPr>
        <w:t xml:space="preserve">tabs.mnu</w:t>
      </w:r>
      <w:r>
        <w:t xml:space="preserve">. Окно статистики не выбирает текущего читателя; оно используется для аналитического просмотра найденной группы.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статистики спроса" title="Окно статистики спроса" id="6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qststat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статистики спроса</w:t>
      </w:r>
    </w:p>
    <w:p>
      <w:pPr>
        <w:pStyle w:val="BodyText"/>
      </w:pPr>
      <w:r>
        <w:t xml:space="preserve">Кнопка «Задолжники» открывает окно выбора области обработки для отчета по задолжникам.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формирует файл</w:t>
      </w:r>
      <w:r>
        <w:t xml:space="preserve"> </w:t>
      </w:r>
      <w:r>
        <w:rPr>
          <w:rStyle w:val="VerbatimChar"/>
        </w:rPr>
        <w:t xml:space="preserve">Debtors.csv</w:t>
      </w:r>
      <w:r>
        <w:t xml:space="preserve"> </w:t>
      </w:r>
      <w:r>
        <w:t xml:space="preserve">и показывает ссылку для скачивания. В файл попадают читатель, описание выданного издания, дата выдачи, дата предполагаемого возврата, инвентарный номер, штрих-код, база данных, место хранения и место выдачи.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5 - Окно формирования отчета по задолжникам" title="Окно формирования отчета по задолжникам" id="6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debtors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формирования отчета по задолжникам</w:t>
      </w:r>
    </w:p>
    <w:p>
      <w:pPr>
        <w:pStyle w:val="BodyText"/>
      </w:pPr>
      <w:r>
        <w:t xml:space="preserve">Кнопка «Посещение» открывает окно фиксации посещения. В нем выбирается область обработки и причина посещения из справочника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записывает посещение в выбранные записи и показывает количество обработанных записей. Кнопка скрыта, если учет посещений отключен в профиле. Подробно учет посещений описан в разделе</w:t>
      </w:r>
      <w:r>
        <w:t xml:space="preserve"> </w:t>
      </w:r>
      <w:hyperlink r:id="rId70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6 - Окно фиксации посещения" title="Окно фиксации посещения" id="7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фиксации посещения</w:t>
      </w:r>
    </w:p>
    <w:p>
      <w:pPr>
        <w:pStyle w:val="BodyText"/>
      </w:pPr>
      <w:r>
        <w:t xml:space="preserve">Кнопка «Групповая перерегистрация» открывает окно выбора области обработки для перерегистрации.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выполняет перерегистрацию выбранных читателей с текущим местом выдачи профиля и показывает количество обработанных записей. Кнопка скрыта, если перерегистрация запрещена настройками профиля.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7 - Окно групповой перерегистрации" title="Окно групповой перерегистрации" id="7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ereg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групповой перерегистрации</w:t>
      </w:r>
    </w:p>
    <w:p>
      <w:pPr>
        <w:pStyle w:val="BodyText"/>
      </w:pPr>
      <w:r>
        <w:t xml:space="preserve">Кнопка «Зафиксировать обслуживание группы читателей одним экземпляром» открывает окно группового обслуживания одним экземпляром. В окне выбирается область обработки и вводится «Инв. №/Штрих-код».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находит издание, добавляет сведения об этом экземпляре в записи выбранных читателей и увеличивает счетчик использования экземпляра. Эта команда предназначена для группового обслуживания, когда один экземпляр учитывается сразу для нескольких читателей.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8 - Окно обслуживания группы читателей одним экземпляром" title="Окно обслуживания группы читателей одним экземпляром" id="7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onebook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обслуживания группы читателей одним экземпляром</w:t>
      </w:r>
    </w:p>
    <w:p>
      <w:pPr>
        <w:pStyle w:val="BodyText"/>
      </w:pPr>
      <w:r>
        <w:t xml:space="preserve">Действия групповой обработки применяются к отмеченным строкам или к набору записей, выбранному в интерфейсе окна. Перед запуском таких операций проверьте, что отмечены именно нужные читатели.</w:t>
      </w:r>
    </w:p>
    <w:p>
      <w:pPr>
        <w:pStyle w:val="BodyText"/>
      </w:pPr>
      <w:r>
        <w:t xml:space="preserve">Если в профиле включен параметр</w:t>
      </w:r>
      <w:r>
        <w:t xml:space="preserve"> </w:t>
      </w:r>
      <w:r>
        <w:rPr>
          <w:rStyle w:val="VerbatimChar"/>
        </w:rPr>
        <w:t xml:space="preserve">allowrdridin</w:t>
      </w:r>
      <w:r>
        <w:t xml:space="preserve">, в правой области дополнительно показывается отдельное поле «Ввод штрих-кода ЧИТАТЕЛЯ». Оно удобно для сканера, когда операции выдачи и возврата выполняются через другие поля.</w:t>
      </w:r>
    </w:p>
    <w:bookmarkEnd w:id="80"/>
    <w:bookmarkEnd w:id="81"/>
    <w:bookmarkStart w:id="112" w:name="область-читателя"/>
    <w:p>
      <w:pPr>
        <w:pStyle w:val="Heading2"/>
      </w:pPr>
      <w:r>
        <w:t xml:space="preserve">Область читателя</w:t>
      </w:r>
    </w:p>
    <w:p>
      <w:pPr>
        <w:pStyle w:val="FirstParagraph"/>
      </w:pPr>
      <w:r>
        <w:t xml:space="preserve">Область читателя отображает запись текущего читателя и сведения об изданиях, находящихся у него на руках. До выбора читателя большинство команд недоступно.</w:t>
      </w:r>
    </w:p>
    <w:p>
      <w:pPr>
        <w:pStyle w:val="CaptionedFigure"/>
      </w:pPr>
      <w:r>
        <w:drawing>
          <wp:inline>
            <wp:extent cx="5334000" cy="929214"/>
            <wp:effectExtent b="0" l="0" r="0" t="0"/>
            <wp:docPr descr="Рисунок 1 - Область текущего читателя и формуляра" title="Область текущего читателя и формуляра" id="83" name="Picture"/>
            <a:graphic>
              <a:graphicData uri="http://schemas.openxmlformats.org/drawingml/2006/picture">
                <pic:pic>
                  <pic:nvPicPr>
                    <pic:cNvPr descr="modules/Bookland/Help/Interface/img/bookland-reader-area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9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текущего читателя и формуляра</w:t>
      </w:r>
    </w:p>
    <w:p>
      <w:pPr>
        <w:pStyle w:val="BodyText"/>
      </w:pPr>
      <w:r>
        <w:t xml:space="preserve">В панели «Текущий читатель» доступны действия над выбранным читателем. До выбора читателя большинство кнопок отключено; после выбора записи АРМ включает команды, разрешенные профилем.</w:t>
      </w:r>
    </w:p>
    <w:bookmarkStart w:id="100" w:name="кнопки-панели-текущий-читатель"/>
    <w:p>
      <w:pPr>
        <w:pStyle w:val="Heading3"/>
      </w:pPr>
      <w:r>
        <w:t xml:space="preserve">1. Кнопки панели «Текущий читатель»</w:t>
      </w:r>
    </w:p>
    <w:p>
      <w:pPr>
        <w:pStyle w:val="FirstParagraph"/>
      </w:pPr>
      <w:r>
        <w:t xml:space="preserve">Кнопка «Посещение» фиксирует посещение читателем библиотеки. Источник вида посещения задается профилем: АРМ может использовать справочник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. Подробно этот сценарий описан в разделе</w:t>
      </w:r>
      <w:r>
        <w:t xml:space="preserve"> </w:t>
      </w:r>
      <w:hyperlink r:id="rId70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BodyText"/>
      </w:pPr>
      <w:r>
        <w:t xml:space="preserve">Кнопка «Перерегистрация» выполняет перерегистрацию текущего читателя. Отдельное окно не открывается: после успешной операции АРМ показывает сообщение о выполнении и обновляет сведения о читателе.</w:t>
      </w:r>
    </w:p>
    <w:p>
      <w:pPr>
        <w:pStyle w:val="BodyText"/>
      </w:pPr>
      <w:r>
        <w:t xml:space="preserve">Кнопка «Блокировать» открывает форму «Блокировка возможности книговыдачи для читателя». В поле «Причина» указывается причина блокировки. Если очистить поле и подтвердить форму, блокировка снимается. Кнопка «Ок» сохраняет значение, кнопка «Отмена» закрывает форму без изменений.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возможности книговыдачи" title="Окно блокировки возможности книговыдачи" id="86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lock.pn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возможности книговыдачи</w:t>
      </w:r>
    </w:p>
    <w:p>
      <w:pPr>
        <w:pStyle w:val="BodyText"/>
      </w:pPr>
      <w:r>
        <w:t xml:space="preserve">Кнопка «Изменить» открывает редактор текущей записи читателя. В редакторе можно изменить поля записи, сохранить изменения или закрыть окно без сохранения.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3 - Редактор текущей записи читателя" title="Редактор текущей записи читателя" id="89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edit-rdr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Редактор текущей записи читателя</w:t>
      </w:r>
    </w:p>
    <w:p>
      <w:pPr>
        <w:pStyle w:val="BodyText"/>
      </w:pPr>
      <w:r>
        <w:t xml:space="preserve">Кнопка «Новый» открывает редактор новой записи читателя. После сохранения новой записи АРМ делает созданного читателя текущим. Если закрыть редактор без сохранения, новая запись не вводится в работу.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4 - Редактор новой записи читателя" title="Редактор новой записи читателя" id="9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new-rdr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Редактор новой записи читателя</w:t>
      </w:r>
    </w:p>
    <w:p>
      <w:pPr>
        <w:pStyle w:val="BodyText"/>
      </w:pPr>
      <w:r>
        <w:t xml:space="preserve">Кнопка «Завершить» завершает работу с текущим читателем, очищает поля ввода штрих-кодов и переводит фокус в поле выдачи. Отдельное окно не открывается. После очистки текущего читателя АРМ снимает фильтр читателя со списков «Заказы» и «Бронеполка»: они снова показывают записи текущего места выдачи, разрешенные настройками профиля.</w:t>
      </w:r>
    </w:p>
    <w:p>
      <w:pPr>
        <w:pStyle w:val="BodyText"/>
      </w:pPr>
      <w:r>
        <w:t xml:space="preserve">Кнопка «История выдач» открывает окно «История книговыдач читателя». В таблице показываются ранее выданные экземпляры, даты выдачи, предполагаемого возврата и фактического возврата, инвентарный номер, штрих-код, база данных, ответственное лицо и места хранения/выдачи.</w:t>
      </w:r>
    </w:p>
    <w:p>
      <w:pPr>
        <w:pStyle w:val="CaptionedFigure"/>
      </w:pPr>
      <w:r>
        <w:drawing>
          <wp:inline>
            <wp:extent cx="5334000" cy="3111499"/>
            <wp:effectExtent b="0" l="0" r="0" t="0"/>
            <wp:docPr descr="Рисунок 5 - Окно «История книговыдач читателя»" title="Окно «История книговыдач читателя»" id="9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history.png" id="96" name="Picture"/>
                    <pic:cNvPicPr>
                      <a:picLocks noChangeArrowheads="1"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«История книговыдач читателя»</w:t>
      </w:r>
    </w:p>
    <w:p>
      <w:pPr>
        <w:pStyle w:val="BodyText"/>
      </w:pPr>
      <w:r>
        <w:t xml:space="preserve">Поле «формат просмотра» меняет формат отображения записи читателя в панели «Текущий читатель». После выбора формата карточка читателя перезагружается в выбранном представлении; отдельное окно не открывается.</w:t>
      </w:r>
    </w:p>
    <w:p>
      <w:pPr>
        <w:pStyle w:val="BodyText"/>
      </w:pPr>
      <w:r>
        <w:t xml:space="preserve">В полном формате просмотра читателя АРМ показывает предупреждение об отсутствии перерегистрации, если в текущем году у читателя нет перерегистрации для места выдачи, заданного в профиле книговыдачи. Место выдачи берется из настройки</w:t>
      </w:r>
      <w:r>
        <w:t xml:space="preserve"> </w:t>
      </w:r>
      <w:r>
        <w:rPr>
          <w:rStyle w:val="VerbatimChar"/>
        </w:rPr>
        <w:t xml:space="preserve">MaskMrg</w:t>
      </w:r>
      <w:r>
        <w:t xml:space="preserve">. Предупреждение помогает библиотекарю сразу увидеть, что перед обслуживанием читателя нужно выполнить перерегистрацию для текущего места выдачи.</w:t>
      </w:r>
    </w:p>
    <w:p>
      <w:pPr>
        <w:pStyle w:val="BodyText"/>
      </w:pPr>
      <w:r>
        <w:t xml:space="preserve">Кнопка печати текущей записи читателя открывает печатное представление записи в выбранном формате. Печать выполняется в отдельной странице/окне браузера и не изменяет запись читателя.</w:t>
      </w:r>
    </w:p>
    <w:p>
      <w:pPr>
        <w:pStyle w:val="BodyText"/>
      </w:pPr>
      <w:r>
        <w:t xml:space="preserve">Состав команд зависит от параметров профиля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rdrreregable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rdrblockable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rdreditable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rdrnewable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rdrprintable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booklandedhistoryable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pftselector</w:t>
      </w:r>
      <w:r>
        <w:t xml:space="preserve">.</w:t>
      </w:r>
    </w:p>
    <w:p>
      <w:pPr>
        <w:pStyle w:val="BodyText"/>
      </w:pPr>
      <w:r>
        <w:t xml:space="preserve">В форме «Издания на руках у читателя» отображаются экземпляры текущего читателя. Команды этой формы работают с отмеченными строками таблицы.</w:t>
      </w:r>
    </w:p>
    <w:p>
      <w:pPr>
        <w:pStyle w:val="BodyText"/>
      </w:pPr>
      <w:r>
        <w:t xml:space="preserve">Кнопки формы «Издания на руках у читателя»:</w:t>
      </w:r>
    </w:p>
    <w:p>
      <w:pPr>
        <w:pStyle w:val="Compact"/>
        <w:numPr>
          <w:ilvl w:val="0"/>
          <w:numId w:val="1013"/>
        </w:numPr>
      </w:pPr>
      <w:r>
        <w:t xml:space="preserve">«Продлить» продлевает срок возврата отмеченных экземпляров до даты, выбранной в форме «Настройки». Кнопка активна только для экземпляров, для которых разрешено продление.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13"/>
        </w:numPr>
      </w:pPr>
      <w:r>
        <w:t xml:space="preserve">«Утеряно» оформляет отмеченные экземпляры как утерянные. Перед выполнением операции АРМ показывает подтверждение. При отказе от подтверждения запись не меняется.</w:t>
      </w:r>
    </w:p>
    <w:p>
      <w:pPr>
        <w:pStyle w:val="Compact"/>
        <w:numPr>
          <w:ilvl w:val="0"/>
          <w:numId w:val="1013"/>
        </w:numPr>
      </w:pPr>
      <w:r>
        <w:t xml:space="preserve">«Вернуть» оформляет возврат отмеченных экземпляров. Кнопка активна только для экземпляров, доступных для возврата.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13"/>
        </w:numPr>
      </w:pPr>
      <w:r>
        <w:t xml:space="preserve">«На бронеполку» возвращает отмеченные экземпляры на бронеполку. Если профиль разрешает выбор статуса бронирования, кнопка открывает меню статусов; выбор пункта сразу выполняет возврат на бронеполку с указанным статусом.</w:t>
      </w:r>
    </w:p>
    <w:p>
      <w:pPr>
        <w:pStyle w:val="Compact"/>
        <w:numPr>
          <w:ilvl w:val="0"/>
          <w:numId w:val="1013"/>
        </w:numPr>
      </w:pPr>
      <w:r>
        <w:t xml:space="preserve">«Печать» открывает отдельную страницу печати контрольных талонов по отмеченным экземплярам.</w:t>
      </w:r>
    </w:p>
    <w:p>
      <w:pPr>
        <w:pStyle w:val="CaptionedFigure"/>
      </w:pPr>
      <w:r>
        <w:drawing>
          <wp:inline>
            <wp:extent cx="5334000" cy="1450848"/>
            <wp:effectExtent b="0" l="0" r="0" t="0"/>
            <wp:docPr descr="Рисунок 6 - Меню статусов кнопки «На бронеполку»" title="Меню статусов кнопки «На бронеполку»" id="9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rone-status-menu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08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кнопки «На бронеполку»</w:t>
      </w:r>
    </w:p>
    <w:p>
      <w:pPr>
        <w:pStyle w:val="BodyText"/>
      </w:pPr>
      <w:r>
        <w:t xml:space="preserve">В таблице формуляра показываются штрих-код, инвентарный номер, шифр, описание издания, даты выдачи и предполагаемого возврата, база данных электронного каталога, ответственное лицо, место хранения, место выдачи и пени. Набор видимых колонок задается настройками профиля.</w:t>
      </w:r>
    </w:p>
    <w:bookmarkEnd w:id="100"/>
    <w:bookmarkStart w:id="111" w:name="блокировка-книговыдачи-для-читателя"/>
    <w:p>
      <w:pPr>
        <w:pStyle w:val="Heading3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102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103" name="Picture"/>
                    <pic:cNvPicPr>
                      <a:picLocks noChangeArrowheads="1"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104" w:name="когда-используется"/>
    <w:p>
      <w:pPr>
        <w:pStyle w:val="Heading4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104"/>
    <w:bookmarkStart w:id="108" w:name="установка-блокировки"/>
    <w:p>
      <w:pPr>
        <w:pStyle w:val="Heading4"/>
      </w:pPr>
      <w:r>
        <w:t xml:space="preserve">2. Установка блокировки</w:t>
      </w:r>
    </w:p>
    <w:p>
      <w:pPr>
        <w:pStyle w:val="Compact"/>
        <w:numPr>
          <w:ilvl w:val="0"/>
          <w:numId w:val="1014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14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14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1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14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106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107" name="Picture"/>
                    <pic:cNvPicPr>
                      <a:picLocks noChangeArrowheads="1"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108"/>
    <w:bookmarkStart w:id="109" w:name="снятие-блокировки"/>
    <w:p>
      <w:pPr>
        <w:pStyle w:val="Heading4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15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15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15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15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109"/>
    <w:bookmarkStart w:id="110" w:name="что-обновляется-после-подтверждения"/>
    <w:p>
      <w:pPr>
        <w:pStyle w:val="Heading4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110"/>
    <w:bookmarkEnd w:id="111"/>
    <w:bookmarkEnd w:id="112"/>
    <w:bookmarkStart w:id="122" w:name="учет-посещений"/>
    <w:p>
      <w:pPr>
        <w:pStyle w:val="Heading2"/>
      </w:pPr>
      <w:r>
        <w:t xml:space="preserve">Учет посещений</w:t>
      </w:r>
    </w:p>
    <w:p>
      <w:pPr>
        <w:pStyle w:val="FirstParagraph"/>
      </w:pPr>
      <w:r>
        <w:t xml:space="preserve">АРМ «Книговыдача» позволяет фиксировать посещения, которые не связаны с выдачей или возвратом литературы. Посещение можно записать для текущего читателя или как гостевое посещение без выбора записи читателя.</w:t>
      </w:r>
    </w:p>
    <w:p>
      <w:pPr>
        <w:pStyle w:val="BodyText"/>
      </w:pPr>
      <w:r>
        <w:t xml:space="preserve">Вид посещения выбирается из источника, заданного в профиле книговыдачи: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справочник причин посещения;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рабочий лист подполей для ввода вида посещения.</w:t>
      </w:r>
    </w:p>
    <w:bookmarkStart w:id="116" w:name="посещение-текущего-читателя"/>
    <w:p>
      <w:pPr>
        <w:pStyle w:val="Heading3"/>
      </w:pPr>
      <w:r>
        <w:t xml:space="preserve">1. Посещение текущего читателя</w:t>
      </w:r>
    </w:p>
    <w:p>
      <w:pPr>
        <w:pStyle w:val="FirstParagraph"/>
      </w:pPr>
      <w:r>
        <w:t xml:space="preserve">Чтобы зафиксировать посещение текущего читателя, сначала найдите или считайте читателя, затем нажмите кнопку «Посещение» в панели «Текущий читатель».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кнопка раскрывает меню причин. Выбор пункта сразу записывает посещение в формуляр текущего читателя.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открывается окно «Учет посещений на мероприятия». В поле «Вид посещения» укажите нужное значение и нажмите</w:t>
      </w:r>
      <w:r>
        <w:t xml:space="preserve"> </w:t>
      </w:r>
      <w:r>
        <w:rPr>
          <w:rStyle w:val="VerbatimChar"/>
        </w:rPr>
        <w:t xml:space="preserve">Ок</w:t>
      </w:r>
      <w:r>
        <w:t xml:space="preserve">. Кнопка «Отмена» закрывает окно без записи.</w:t>
      </w:r>
    </w:p>
    <w:p>
      <w:pPr>
        <w:pStyle w:val="CaptionedFigure"/>
      </w:pPr>
      <w:r>
        <w:drawing>
          <wp:inline>
            <wp:extent cx="5334000" cy="2080260"/>
            <wp:effectExtent b="0" l="0" r="0" t="0"/>
            <wp:docPr descr="Рисунок 1 - Окно выбора вида посещения из рабочего листа подполей" title="Окно выбора вида посещения из рабочего листа подполей" id="11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visit-wss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80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вида посещения из рабочего листа подполей</w:t>
      </w:r>
    </w:p>
    <w:p>
      <w:pPr>
        <w:pStyle w:val="BodyText"/>
      </w:pPr>
      <w:r>
        <w:t xml:space="preserve">После успешной записи АРМ обновляет данные текущего читателя. Если в профиле включена автоматическая перерегистрация при посещении, она выполняется вместе с фиксацией посещения.</w:t>
      </w:r>
    </w:p>
    <w:bookmarkEnd w:id="116"/>
    <w:bookmarkStart w:id="117" w:name="гостевые-посещения"/>
    <w:p>
      <w:pPr>
        <w:pStyle w:val="Heading3"/>
      </w:pPr>
      <w:r>
        <w:t xml:space="preserve">2. Гостевые посещения</w:t>
      </w:r>
    </w:p>
    <w:p>
      <w:pPr>
        <w:pStyle w:val="FirstParagraph"/>
      </w:pPr>
      <w:r>
        <w:t xml:space="preserve">Гостевые посещения используются, когда нужно учесть количество посетителей без привязки к конкретной записи читателя. Кнопка «Учет гостевых посещений» доступна на панели сервисных операций, если в профиле включена технология гостевых посещений.</w:t>
      </w:r>
    </w:p>
    <w:p>
      <w:pPr>
        <w:pStyle w:val="BodyText"/>
      </w:pPr>
      <w:r>
        <w:t xml:space="preserve">В окне гостевых посещений укажите количество посещений. 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выберите причину из поля «Посещение». 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заполните поле «Вид посещения» в рабочем листе подполей. После ввода количества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 поле количества: АРМ запишет указанное число посещений и покажет общий счетчик гостевых посещений за текущую дату и место выдачи.</w:t>
      </w:r>
    </w:p>
    <w:p>
      <w:pPr>
        <w:pStyle w:val="BodyText"/>
      </w:pPr>
      <w:r>
        <w:t xml:space="preserve">Если в профиле задан служебный идентификатор записи для гостевых посещений, система дополнительно ставит фоновую задачу сохранения сведений в эту запись. Если идентификатор не задан, учет сохраняется в оперативном файле посещений.</w:t>
      </w:r>
    </w:p>
    <w:bookmarkEnd w:id="117"/>
    <w:bookmarkStart w:id="120" w:name="групповая-фиксация-из-поиска-читателей"/>
    <w:p>
      <w:pPr>
        <w:pStyle w:val="Heading3"/>
      </w:pPr>
      <w:r>
        <w:t xml:space="preserve">3. Групповая фиксация из поиска читателей</w:t>
      </w:r>
    </w:p>
    <w:p>
      <w:pPr>
        <w:pStyle w:val="FirstParagraph"/>
      </w:pPr>
      <w:r>
        <w:t xml:space="preserve">В окне «Читатели» кнопка «Посещение» фиксирует посещение сразу для выбранной области обработки: всех найденных записей, отмеченных на текущей странице или всех, кроме отмеченных. В этом режиме причина посещения выбирается из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2 - Окно групповой фиксации посещений" title="Окно групповой фиксации посещений" id="11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119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групповой фиксации посещений</w:t>
      </w:r>
    </w:p>
    <w:p>
      <w:pPr>
        <w:pStyle w:val="BodyText"/>
      </w:pPr>
      <w:r>
        <w:t xml:space="preserve">Перед запуском групповой операции проверьте выбранную область обработки. После подтверждения АРМ записывает посещение в выбранные записи читателей и показывает количество обработанных записей.</w:t>
      </w:r>
    </w:p>
    <w:bookmarkEnd w:id="120"/>
    <w:bookmarkStart w:id="121" w:name="настройка-источника-вида-посещения"/>
    <w:p>
      <w:pPr>
        <w:pStyle w:val="Heading3"/>
      </w:pPr>
      <w:r>
        <w:t xml:space="preserve">4. Настройка источника вида посещения</w:t>
      </w:r>
    </w:p>
    <w:p>
      <w:pPr>
        <w:pStyle w:val="FirstParagraph"/>
      </w:pPr>
      <w:r>
        <w:t xml:space="preserve">Источник выбора вида посещения задается параметром профиля</w:t>
      </w:r>
      <w:r>
        <w:t xml:space="preserve"> </w:t>
      </w:r>
      <w:r>
        <w:rPr>
          <w:rStyle w:val="VerbatimChar"/>
        </w:rPr>
        <w:t xml:space="preserve">rdrvstype</w:t>
      </w:r>
      <w:r>
        <w:t xml:space="preserve">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используется меню причин посещения;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используется рабочий лист подполей.</w:t>
      </w:r>
    </w:p>
    <w:p>
      <w:pPr>
        <w:pStyle w:val="FirstParagraph"/>
      </w:pPr>
      <w:r>
        <w:t xml:space="preserve">Для индивидуальных посещений кнопка «Посещение» в панели читателя доступна, если включен параметр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. Для гостевых посещений нужна технология</w:t>
      </w:r>
      <w:r>
        <w:t xml:space="preserve"> </w:t>
      </w:r>
      <w:r>
        <w:rPr>
          <w:rStyle w:val="VerbatimChar"/>
        </w:rPr>
        <w:t xml:space="preserve">visitorfree</w:t>
      </w:r>
      <w:r>
        <w:t xml:space="preserve">; при сохранении гостевых посещений также используется текущий профиль, место выдачи и ответственный пользователь.</w:t>
      </w:r>
    </w:p>
    <w:bookmarkEnd w:id="121"/>
    <w:bookmarkEnd w:id="122"/>
    <w:bookmarkStart w:id="127" w:name="панель-rfid"/>
    <w:p>
      <w:pPr>
        <w:pStyle w:val="Heading2"/>
      </w:pPr>
      <w:r>
        <w:t xml:space="preserve">Панель RFID</w:t>
      </w:r>
    </w:p>
    <w:p>
      <w:pPr>
        <w:pStyle w:val="FirstParagraph"/>
      </w:pPr>
      <w:r>
        <w:t xml:space="preserve">Панель RFID отображается в АРМ «Книговыдача», если в профиле книговыдачи выбран тип RFID-оборудования. Если RFID в профиле не настроен, панель скрыта и операции выполняются обычными полями ввода штрих-кода.</w:t>
      </w:r>
    </w:p>
    <w:p>
      <w:pPr>
        <w:pStyle w:val="CaptionedFigure"/>
      </w:pPr>
      <w:r>
        <w:drawing>
          <wp:inline>
            <wp:extent cx="5334000" cy="503595"/>
            <wp:effectExtent b="0" l="0" r="0" t="0"/>
            <wp:docPr descr="Рисунок 1 - Панель RFID" title="Панель RFID" id="124" name="Picture"/>
            <a:graphic>
              <a:graphicData uri="http://schemas.openxmlformats.org/drawingml/2006/picture">
                <pic:pic>
                  <pic:nvPicPr>
                    <pic:cNvPr descr="modules/Bookland/Help/Interface/img/bookland-rfid-panel.png" id="125" name="Picture"/>
                    <pic:cNvPicPr>
                      <a:picLocks noChangeArrowheads="1" noChangeAspect="1"/>
                    </pic:cNvPicPr>
                  </pic:nvPicPr>
                  <pic:blipFill>
                    <a:blip r:embed="rId1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035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RFID</w:t>
      </w:r>
    </w:p>
    <w:p>
      <w:pPr>
        <w:pStyle w:val="BodyText"/>
      </w:pPr>
      <w:r>
        <w:t xml:space="preserve">Кнопка «Прочитать метки» запускает считывание RFID-меток с подключенного оборудования. После чтения найденные метки отображаются в таблице панели.</w:t>
      </w:r>
    </w:p>
    <w:p>
      <w:pPr>
        <w:pStyle w:val="BodyText"/>
      </w:pPr>
      <w:r>
        <w:t xml:space="preserve">Если считыватель вернул метку читательской карточки, АРМ использует ее как идентификатор читателя и устанавливает текущего читателя. Для рабочих мест с отдельным оборудованием для книг и читательских карточек администратор может задать разные параметры чтения в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; порядок настройки описан в</w:t>
      </w:r>
      <w:r>
        <w:t xml:space="preserve"> </w:t>
      </w:r>
      <w:hyperlink r:id="rId126">
        <w:r>
          <w:rPr>
            <w:rStyle w:val="Hyperlink"/>
          </w:rPr>
          <w:t xml:space="preserve">руководстве администратора</w:t>
        </w:r>
      </w:hyperlink>
      <w:r>
        <w:t xml:space="preserve">.</w:t>
      </w:r>
    </w:p>
    <w:p>
      <w:pPr>
        <w:pStyle w:val="BodyText"/>
      </w:pPr>
      <w:r>
        <w:t xml:space="preserve">Для считывателя Iron Logic Z2 USB на Linux используется тип оборудования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 </w:t>
      </w:r>
      <w:r>
        <w:t xml:space="preserve">в профиле книговыдачи. На рабочем месте библиотекаря должна быть запущена локальная программа обмена с USB-считывателем; браузер АРМа обращается к ней на этом же компьютере через порт</w:t>
      </w:r>
      <w:r>
        <w:t xml:space="preserve"> </w:t>
      </w:r>
      <w:r>
        <w:rPr>
          <w:rStyle w:val="VerbatimChar"/>
        </w:rPr>
        <w:t xml:space="preserve">6001</w:t>
      </w:r>
      <w:r>
        <w:t xml:space="preserve"> </w:t>
      </w:r>
      <w:r>
        <w:t xml:space="preserve">и путь</w:t>
      </w:r>
      <w:r>
        <w:t xml:space="preserve"> </w:t>
      </w:r>
      <w:r>
        <w:rPr>
          <w:rStyle w:val="VerbatimChar"/>
        </w:rPr>
        <w:t xml:space="preserve">/Send</w:t>
      </w:r>
      <w:r>
        <w:t xml:space="preserve">. Если браузер открыт на другом компьютере или локальная программа не запущена, панель RFID не получит метки, даже если сам сервер ИРБИС 128 доступен.</w:t>
      </w:r>
    </w:p>
    <w:p>
      <w:pPr>
        <w:pStyle w:val="BodyText"/>
      </w:pPr>
      <w:r>
        <w:t xml:space="preserve">В таблице показываются:</w:t>
      </w:r>
    </w:p>
    <w:p>
      <w:pPr>
        <w:pStyle w:val="Compact"/>
        <w:numPr>
          <w:ilvl w:val="0"/>
          <w:numId w:val="1018"/>
        </w:numPr>
      </w:pPr>
      <w:r>
        <w:t xml:space="preserve">RFID-метка;</w:t>
      </w:r>
    </w:p>
    <w:p>
      <w:pPr>
        <w:pStyle w:val="Compact"/>
        <w:numPr>
          <w:ilvl w:val="0"/>
          <w:numId w:val="1018"/>
        </w:numPr>
      </w:pPr>
      <w:r>
        <w:t xml:space="preserve">инвентарный номер;</w:t>
      </w:r>
    </w:p>
    <w:p>
      <w:pPr>
        <w:pStyle w:val="Compact"/>
        <w:numPr>
          <w:ilvl w:val="0"/>
          <w:numId w:val="1018"/>
        </w:numPr>
      </w:pPr>
      <w:r>
        <w:t xml:space="preserve">шифр;</w:t>
      </w:r>
    </w:p>
    <w:p>
      <w:pPr>
        <w:pStyle w:val="Compact"/>
        <w:numPr>
          <w:ilvl w:val="0"/>
          <w:numId w:val="1018"/>
        </w:numPr>
      </w:pPr>
      <w:r>
        <w:t xml:space="preserve">описание издания;</w:t>
      </w:r>
    </w:p>
    <w:p>
      <w:pPr>
        <w:pStyle w:val="Compact"/>
        <w:numPr>
          <w:ilvl w:val="0"/>
          <w:numId w:val="1018"/>
        </w:numPr>
      </w:pPr>
      <w:r>
        <w:t xml:space="preserve">место хранения;</w:t>
      </w:r>
    </w:p>
    <w:p>
      <w:pPr>
        <w:pStyle w:val="Compact"/>
        <w:numPr>
          <w:ilvl w:val="0"/>
          <w:numId w:val="1018"/>
        </w:numPr>
      </w:pPr>
      <w:r>
        <w:t xml:space="preserve">статус;</w:t>
      </w:r>
    </w:p>
    <w:p>
      <w:pPr>
        <w:pStyle w:val="Compact"/>
        <w:numPr>
          <w:ilvl w:val="0"/>
          <w:numId w:val="1018"/>
        </w:numPr>
      </w:pPr>
      <w:r>
        <w:t xml:space="preserve">значение EAS.</w:t>
      </w:r>
    </w:p>
    <w:p>
      <w:pPr>
        <w:pStyle w:val="FirstParagraph"/>
      </w:pPr>
      <w:r>
        <w:t xml:space="preserve">Кнопки «Выдача» и «Возврат» выполняют соответствующую операцию с выбранными метками. Если в профиле включено автоматическое управление EAS, противокражный бит может устанавливаться или сниматься вместе с выдачей и возвратом.</w:t>
      </w:r>
    </w:p>
    <w:p>
      <w:pPr>
        <w:pStyle w:val="BodyText"/>
      </w:pPr>
      <w:r>
        <w:t xml:space="preserve">Кнопки «Установить противокражный бит» и «Снять противокражный бит» позволяют выполнить EAS-операцию отдельно от выдачи или возврата. Они используются, когда нужно подготовить метку или исправить ее состояние без изменения формуляра читателя.</w:t>
      </w:r>
    </w:p>
    <w:p>
      <w:pPr>
        <w:pStyle w:val="BodyText"/>
      </w:pPr>
      <w:r>
        <w:t xml:space="preserve">Если панель видна, но чтение меток не выполняется, проверьте подключение USB-считывателя, запуск локальной программы обмена, выбранный тип RFID в профиле книговыдачи и параметры автоматического управления EAS. Для Iron Logic Z2 USB на Linux в профиле должен быть выбран тип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.</w:t>
      </w:r>
    </w:p>
    <w:bookmarkEnd w:id="127"/>
    <w:bookmarkStart w:id="168" w:name="форма-заказы"/>
    <w:p>
      <w:pPr>
        <w:pStyle w:val="Heading2"/>
      </w:pPr>
      <w:r>
        <w:t xml:space="preserve">Форма «Заказы»</w:t>
      </w:r>
    </w:p>
    <w:p>
      <w:pPr>
        <w:pStyle w:val="FirstParagraph"/>
      </w:pPr>
      <w:r>
        <w:t xml:space="preserve">Форма «Заказы» отображает очередь заказов, ожидающих обработки в текущем месте выдачи. Форма доступна, если в профиле книговыдачи включена работа с очередью заказов.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Заказы» в интерфейсе АРМ «Книговыдача»" title="Форма «Заказы» в интерфейсе АРМ «Книговыдача»" id="12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.png" id="130" name="Picture"/>
                    <pic:cNvPicPr>
                      <a:picLocks noChangeArrowheads="1" noChangeAspect="1"/>
                    </pic:cNvPicPr>
                  </pic:nvPicPr>
                  <pic:blipFill>
                    <a:blip r:embed="rId1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«Заказы» в интерфейсе АРМ «Книговыдача»</w:t>
      </w:r>
    </w:p>
    <w:p>
      <w:pPr>
        <w:pStyle w:val="BodyText"/>
      </w:pPr>
      <w:r>
        <w:t xml:space="preserve">В таблице показываются сведения о заказанном издании и читателе: количество свободных экземпляров, шифр, описание издания, дата заказа, идентификатор пользователя, пользователь, примечание пользователя и база данных. Состав колонок может быть расширен настройками профиля.</w:t>
      </w:r>
    </w:p>
    <w:p>
      <w:pPr>
        <w:pStyle w:val="BodyText"/>
      </w:pPr>
      <w:r>
        <w:t xml:space="preserve">Действия становятся доступными только для выбранной строки и только если запись заказа допускает соответствующую операцию. После выполнения операции список обновляется.</w:t>
      </w:r>
    </w:p>
    <w:bookmarkStart w:id="131" w:name="контекстное-меню-строки-заказа"/>
    <w:p>
      <w:pPr>
        <w:pStyle w:val="Heading3"/>
      </w:pPr>
      <w:r>
        <w:t xml:space="preserve">1. Контекстное меню строки заказа</w:t>
      </w:r>
    </w:p>
    <w:p>
      <w:pPr>
        <w:pStyle w:val="FirstParagraph"/>
      </w:pPr>
      <w:r>
        <w:t xml:space="preserve">В контекстном меню выбранного заказа выберите команду выбора читателя в область читателя. В поставочном профиле она называется «Читатель - в интерфейсе БЕЗ ЗАКАЗА». Команда берет идентификатор читателя из выбранной записи заказа и делает этого читателя текущим: в панели «Текущий читатель» загружается карточка читателя, в форме «Издания на руках у читателя» отображается его формуляр, а списки «Заказы» и «Бронеполка» перестраиваются по этому читателю.</w:t>
      </w:r>
    </w:p>
    <w:p>
      <w:pPr>
        <w:pStyle w:val="BodyText"/>
      </w:pPr>
      <w:r>
        <w:t xml:space="preserve">Выбор читателя из заказа не выполняет заказ и не меняет запись заказа. Он нужен, чтобы перейти от строки заказа к обслуживанию читателя без ручного поиска. Чтобы снова видеть невыданные заказы всех читателей, нажмите «Завершить» в панели «Текущий читатель».</w:t>
      </w:r>
    </w:p>
    <w:bookmarkEnd w:id="131"/>
    <w:bookmarkStart w:id="167" w:name="кнопки-тулбара"/>
    <w:p>
      <w:pPr>
        <w:pStyle w:val="Heading3"/>
      </w:pPr>
      <w:r>
        <w:t xml:space="preserve">2.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заказов. Часть кнопок становится доступной только после выбора строки и только если запись заказа допускает соответствующую операцию: выполнение, бронирование или отказ. Кнопки печати и статистики работают с набором записей списка.</w:t>
      </w:r>
    </w:p>
    <w:p>
      <w:pPr>
        <w:pStyle w:val="BodyText"/>
      </w:pPr>
      <w:r>
        <w:t xml:space="preserve">Если в профиле настроены пользовательские кнопки списка заказов (</w:t>
      </w:r>
      <w:r>
        <w:rPr>
          <w:rStyle w:val="VerbatimChar"/>
        </w:rPr>
        <w:t xml:space="preserve">rqstUserActionButtons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Заказы»" title="Окно «Списки...» формы «Заказы»" id="13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lists.png" id="134" name="Picture"/>
                    <pic:cNvPicPr>
                      <a:picLocks noChangeArrowheads="1" noChangeAspect="1"/>
                    </pic:cNvPicPr>
                  </pic:nvPicPr>
                  <pic:blipFill>
                    <a:blip r:embed="rId1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«Заказы»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Интерфейс аналогичен окну списков: сначала выбирается область вывода, затем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Заказы»" title="Окно «Таблицы...» формы «Заказы»" id="13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les.png" id="137" name="Picture"/>
                    <pic:cNvPicPr>
                      <a:picLocks noChangeArrowheads="1"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«Заказы»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В нем также доступны варианты «Все», «Отмеченные на текущей странице» и «Кроме отмеченных». После выбора статистической формы и подтверждения результат строится действием статистических форм и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4 - Окно «Статистические формы» формы «Заказы»" title="Окно «Статистические формы» формы «Заказы»" id="1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statform.png" id="140" name="Picture"/>
                    <pic:cNvPicPr>
                      <a:picLocks noChangeArrowheads="1" noChangeAspect="1"/>
                    </pic:cNvPicPr>
                  </pic:nvPicPr>
                  <pic:blipFill>
                    <a:blip r:embed="rId1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«Статистические формы» формы «Заказы»</w:t>
      </w:r>
    </w:p>
    <w:p>
      <w:pPr>
        <w:pStyle w:val="BodyText"/>
      </w:pPr>
      <w:r>
        <w:t xml:space="preserve">Кнопка «Выполнить» оформляет выдачу выбранного заказа. АРМ определяет читателя, издание и экземпляр по записи заказа, делает читателя текущим, переносит заказ в состояние выполненного и добавляет экземпляр в формуляр читателя. Если по заказу нельзя однозначно определить экземпляр, открывается окно выбора экземпляра: в нем отображается список доступных экземпляров, краткое описание издания и кнопка подтверждения выбора. После подтверждения выполняется выдача выбранного экземпляра.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5 - Окно выбора экземпляра при выполнении заказа" title="Окно выбора экземпляра при выполнении заказа" id="141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142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выбора экземпляра при выполнении заказа</w:t>
      </w:r>
    </w:p>
    <w:p>
      <w:pPr>
        <w:pStyle w:val="BodyText"/>
      </w:pPr>
      <w:r>
        <w:t xml:space="preserve">Кнопка «Бронировать» переводит выбранный заказ на бронеполку. АРМ выбирает экземпляр, меняет состояние экземпляра на забронированное и переносит заказ во вкладку «Бронеполка». Если для заказа доступно несколько экземпляров, перед бронированием открывается окно выбора экземпляра такого же типа: пользователь выбирает экземпляр из таблицы и подтверждает операцию.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окне отображается запись читателя в формате полного просмотра; окно можно прокручивать. Закрытие окна не меняет заказ.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6 - Окно «Полное описание читателя» из формы «Заказы»" title="Окно «Полное описание читателя» из формы «Заказы»" id="144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dr-full.png" id="145" name="Picture"/>
                    <pic:cNvPicPr>
                      <a:picLocks noChangeArrowheads="1"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«Полное описание читателя» из формы «Заказы»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окне отображается библиографическая запись заказанного издания из базы данных электронного каталога.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издания» из формы «Заказы»" title="Окно «Полное описание издания» из формы «Заказы»" id="147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full.png" id="148" name="Picture"/>
                    <pic:cNvPicPr>
                      <a:picLocks noChangeArrowheads="1" noChangeAspect="1"/>
                    </pic:cNvPicPr>
                  </pic:nvPicPr>
                  <pic:blipFill>
                    <a:blip r:embed="rId1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издания» из формы «Заказы»</w:t>
      </w:r>
    </w:p>
    <w:p>
      <w:pPr>
        <w:pStyle w:val="BodyText"/>
      </w:pPr>
      <w:r>
        <w:t xml:space="preserve">Кнопка редактирования издания открывает редактор записи заказанного издания. В заголовке редактора показаны MFN записи и база данных. На панели редактора доступны команды сохранения, ввода и удаления полей; использовать их следует только если нужно исправить библиографическую запись или данные экземпляров перед обработкой заказа.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8 - Редактор записи заказанного издания" title="Редактор записи заказанного издания" id="15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edit.png" id="151" name="Picture"/>
                    <pic:cNvPicPr>
                      <a:picLocks noChangeArrowheads="1" noChangeAspect="1"/>
                    </pic:cNvPicPr>
                  </pic:nvPicPr>
                  <pic:blipFill>
                    <a:blip r:embed="rId1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Редактор записи заказанного издания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есть поле «Новое место выдачи» со списком доступных мест выдачи и кнопки «Изменить место выдачи» и «Отмена». После подтверждения выбранное место выдачи записывается в заказ, окно закрывается, список заказов обновляется.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9 - Окно «Смена места выдачи издания»" title="Окно «Смена места выдачи издания»" id="15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eplace-mkv.png" id="154" name="Picture"/>
                    <pic:cNvPicPr>
                      <a:picLocks noChangeArrowheads="1" noChangeAspect="1"/>
                    </pic:cNvPicPr>
                  </pic:nvPicPr>
                  <pic:blipFill>
                    <a:blip r:embed="rId1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«Смена места выдачи издания»</w:t>
      </w:r>
    </w:p>
    <w:p>
      <w:pPr>
        <w:pStyle w:val="BodyText"/>
      </w:pPr>
      <w:r>
        <w:t xml:space="preserve">Кнопка «Примечание к заказу» открывает форму редактирования примечания. В форме одно поле «Примечание к заказу» и кнопки «Ок» и «Отмена». После сохранения примечание записывается в заказ и отображается в колонке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10 - Окно «Примечание к заказу»" title="Окно «Примечание к заказу»" id="15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note.png" id="157" name="Picture"/>
                    <pic:cNvPicPr>
                      <a:picLocks noChangeArrowheads="1" noChangeAspect="1"/>
                    </pic:cNvPicPr>
                  </pic:nvPicPr>
                  <pic:blipFill>
                    <a:blip r:embed="rId1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Окно «Примечание к заказу»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Выбор пункта меню сразу применяет отказ: АРМ записывает в заказ причину отказа, дату отказа и ответственное лицо. Если в профиле включена почтовая рассылка и в записи читателя указан e-mail, читателю отправляется уведомление об отказе.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1 - Меню причин отказа в форме «Заказы»" title="Меню причин отказа в форме «Заказы»" id="15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decline-menu.png" id="160" name="Picture"/>
                    <pic:cNvPicPr>
                      <a:picLocks noChangeArrowheads="1" noChangeAspect="1"/>
                    </pic:cNvPicPr>
                  </pic:nvPicPr>
                  <pic:blipFill>
                    <a:blip r:embed="rId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Меню причин отказа в форме «Заказы»</w:t>
      </w:r>
    </w:p>
    <w:p>
      <w:pPr>
        <w:pStyle w:val="BodyText"/>
      </w:pPr>
      <w:r>
        <w:t xml:space="preserve">Кнопка «Выполненные заказы» открывает отдельное окно со списком выполненных заказов. В нем отображаются читатель, издание, экземпляр, дата заказа, дата выдачи, база данных, место хранения и примечание. В окне есть собственные кнопки печати, табличных и статистических форм, а также постраничная навигация.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Выполненные заказы»" title="Окно «Выполненные заказы»" id="162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issued.png" id="163" name="Picture"/>
                    <pic:cNvPicPr>
                      <a:picLocks noChangeArrowheads="1" noChangeAspect="1"/>
                    </pic:cNvPicPr>
                  </pic:nvPicPr>
                  <pic:blipFill>
                    <a:blip r:embed="rId1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«Выполненные заказы»</w:t>
      </w:r>
    </w:p>
    <w:p>
      <w:pPr>
        <w:pStyle w:val="BodyText"/>
      </w:pPr>
      <w:r>
        <w:t xml:space="preserve">Кнопка «Отказы» открывает отдельное окно со списком отказанных заказов. В нем отображаются читатель, издание, причина отказа, дата заказа, дата отказа, ответственное лицо, база данных и примечание. Окно поддерживает те же стандартные действия списка записей и постраничную навигацию.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3 - Окно «Отказы»" title="Окно «Отказы»" id="165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deny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13 - Окно «Отказы»</w:t>
      </w:r>
    </w:p>
    <w:bookmarkEnd w:id="167"/>
    <w:bookmarkEnd w:id="168"/>
    <w:bookmarkStart w:id="188" w:name="форма-бронеполка"/>
    <w:p>
      <w:pPr>
        <w:pStyle w:val="Heading2"/>
      </w:pPr>
      <w:r>
        <w:t xml:space="preserve">Форма «Бронеполка»</w:t>
      </w:r>
    </w:p>
    <w:p>
      <w:pPr>
        <w:pStyle w:val="FirstParagraph"/>
      </w:pPr>
      <w:r>
        <w:t xml:space="preserve">Форма «Бронеполка» используется для работы с экземплярами, отложенными для читателей. Форма доступна, если в профиле книговыдачи включена бронеполка.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Бронеполка» в интерфейсе АРМ «Книговыдача»" title="Форма «Бронеполка» в интерфейсе АРМ «Книговыдача»" id="17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.png" id="171" name="Picture"/>
                    <pic:cNvPicPr>
                      <a:picLocks noChangeArrowheads="1" noChangeAspect="1"/>
                    </pic:cNvPicPr>
                  </pic:nvPicPr>
                  <pic:blipFill>
                    <a:blip r:embed="rId1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«Бронеполка» в интерфейсе АРМ «Книговыдача»</w:t>
      </w:r>
    </w:p>
    <w:p>
      <w:pPr>
        <w:pStyle w:val="BodyText"/>
      </w:pPr>
      <w:r>
        <w:t xml:space="preserve">В таблице отображаются забронированный инвентарный номер, забронированный штрих-код, даты бронирования и снятия брони, шифр, описание издания, дата заказа, идентификатор пользователя, пользователь и примечание пользователя. Состав колонок может дополняться настройками профиля.</w:t>
      </w:r>
    </w:p>
    <w:p>
      <w:pPr>
        <w:pStyle w:val="BodyText"/>
      </w:pPr>
      <w:r>
        <w:t xml:space="preserve">Кнопки выдачи и возврата активны только для выбранной строки, когда выбранная запись допускает соответствующую операцию.</w:t>
      </w:r>
    </w:p>
    <w:bookmarkStart w:id="187" w:name="кнопки-тулбара-1"/>
    <w:p>
      <w:pPr>
        <w:pStyle w:val="Heading3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бронеполки или с набором записей списка. Кнопки «Выдать» и «Вернуть» становятся доступными только после выбора строки и только если выбранная запись допускает соответствующую операцию.</w:t>
      </w:r>
    </w:p>
    <w:p>
      <w:pPr>
        <w:pStyle w:val="BodyText"/>
      </w:pPr>
      <w:r>
        <w:t xml:space="preserve">Если в профиле настроены пользовательские кнопки списка бронеполки (</w:t>
      </w:r>
      <w:r>
        <w:rPr>
          <w:rStyle w:val="VerbatimChar"/>
        </w:rPr>
        <w:t xml:space="preserve">rqstbrUserActionButtons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бронеполки.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Бронеполка»" title="Окно «Списки...» формы «Бронеполка»" id="17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lists.png" id="174" name="Picture"/>
                    <pic:cNvPicPr>
                      <a:picLocks noChangeArrowheads="1" noChangeAspect="1"/>
                    </pic:cNvPicPr>
                  </pic:nvPicPr>
                  <pic:blipFill>
                    <a:blip r:embed="rId1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«Бронеполка»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форма таблицы,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Бронеполка»" title="Окно «Таблицы...» формы «Бронеполка»" id="176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les.png" id="177" name="Picture"/>
                    <pic:cNvPicPr>
                      <a:picLocks noChangeArrowheads="1" noChangeAspect="1"/>
                    </pic:cNvPicPr>
                  </pic:nvPicPr>
                  <pic:blipFill>
                    <a:blip r:embed="rId1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«Бронеполка»</w:t>
      </w:r>
    </w:p>
    <w:p>
      <w:pPr>
        <w:pStyle w:val="BodyText"/>
      </w:pPr>
      <w:r>
        <w:t xml:space="preserve">Кнопка «Выдать» оформляет выдачу забронированного экземпляра читателю. АРМ находит читателя и забронированный экземпляр по выбранной записи, делает читателя текущим, переносит заказ из бронеполки в выполненные и добавляет экземпляр в формуляр читателя. Отдельное окно при штатной выдаче не открывается; после успешной операции запись исчезает из текущего списка бронеполки.</w:t>
      </w:r>
    </w:p>
    <w:p>
      <w:pPr>
        <w:pStyle w:val="BodyText"/>
      </w:pPr>
      <w:r>
        <w:t xml:space="preserve">Кнопка «Вернуть» снимает экземпляр с бронеполки и возвращает его в фонд. При выполнении операции АРМ меняет состояние экземпляра и заказа, после чего обновляет список бронеполки. Отдельное окно не открывается. Команда используется, когда читатель не забирает отложенный экземпляр или бронь нужно отменить без выдачи.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отображается поле «Новое место выдачи» со списком допустимых мест выдачи для выбранного издания. Кнопка «Изменить место выдачи» сохраняет новое место выдачи в заказе, кнопка «Отмена» закрывает окно без изменений.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4 - Окно «Смена места выдачи издания» формы «Бронеполка»" title="Окно «Смена места выдачи издания» формы «Бронеполка»" id="179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replace-mkv.png" id="180" name="Picture"/>
                    <pic:cNvPicPr>
                      <a:picLocks noChangeArrowheads="1" noChangeAspect="1"/>
                    </pic:cNvPicPr>
                  </pic:nvPicPr>
                  <pic:blipFill>
                    <a:blip r:embed="rId1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«Смена места выдачи издания» формы «Бронеполка»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текст примечания, связанного с выбранной записью бронеполки.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5 - Окно «Примечание к заказу» формы «Бронеполка»" title="Окно «Примечание к заказу» формы «Бронеполка»" id="182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note.png" id="183" name="Picture"/>
                    <pic:cNvPicPr>
                      <a:picLocks noChangeArrowheads="1" noChangeAspect="1"/>
                    </pic:cNvPicPr>
                  </pic:nvPicPr>
                  <pic:blipFill>
                    <a:blip r:embed="rId1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«Примечание к заказу» формы «Бронеполка»</w:t>
      </w:r>
    </w:p>
    <w:p>
      <w:pPr>
        <w:pStyle w:val="BodyText"/>
      </w:pPr>
      <w:r>
        <w:t xml:space="preserve">Кнопка «Статус» доступна, если в профиле разрешена смена статуса бронирования. При нажатии открывается меню статусов из справочника профиля. После выбора пункта меню АРМ записывает новое значение в заказ и обновляет таблицу. Отдельное окно не открывается: операция выполняется сразу после выбора статуса.</w:t>
      </w:r>
    </w:p>
    <w:p>
      <w:pPr>
        <w:pStyle w:val="CaptionedFigure"/>
      </w:pPr>
      <w:r>
        <w:drawing>
          <wp:inline>
            <wp:extent cx="5334000" cy="1419532"/>
            <wp:effectExtent b="0" l="0" r="0" t="0"/>
            <wp:docPr descr="Рисунок 6 - Меню статусов формы «Бронеполка»" title="Меню статусов формы «Бронеполка»" id="185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status-menu.png" id="186" name="Picture"/>
                    <pic:cNvPicPr>
                      <a:picLocks noChangeArrowheads="1" noChangeAspect="1"/>
                    </pic:cNvPicPr>
                  </pic:nvPicPr>
                  <pic:blipFill>
                    <a:blip r:embed="rId1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195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формы «Бронеполка»</w:t>
      </w:r>
    </w:p>
    <w:bookmarkEnd w:id="187"/>
    <w:bookmarkEnd w:id="188"/>
    <w:bookmarkStart w:id="228" w:name="форма-продление"/>
    <w:p>
      <w:pPr>
        <w:pStyle w:val="Heading2"/>
      </w:pPr>
      <w:r>
        <w:t xml:space="preserve">Форма «Продление»</w:t>
      </w:r>
    </w:p>
    <w:p>
      <w:pPr>
        <w:pStyle w:val="FirstParagraph"/>
      </w:pPr>
      <w:r>
        <w:t xml:space="preserve">Форма «Продление» отображает заявки читателей на продление срока возврата изданий. Форма доступна, если в профиле книговыдачи включена подсистема продления.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Продление» в интерфейсе АРМ «Книговыдача»" title="Форма «Продление» в интерфейсе АРМ «Книговыдача»" id="19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.png" id="191" name="Picture"/>
                    <pic:cNvPicPr>
                      <a:picLocks noChangeArrowheads="1" noChangeAspect="1"/>
                    </pic:cNvPicPr>
                  </pic:nvPicPr>
                  <pic:blipFill>
                    <a:blip r:embed="rId1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«Продление» в интерфейсе АРМ «Книговыдача»</w:t>
      </w:r>
    </w:p>
    <w:p>
      <w:pPr>
        <w:pStyle w:val="BodyText"/>
      </w:pPr>
      <w:r>
        <w:t xml:space="preserve">Вкладка появляется в нижней части АРМ «Книговыдача» при включенной настройке профиля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. Заявки хранятся в базе заказов с типом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.</w:t>
      </w:r>
    </w:p>
    <w:p>
      <w:pPr>
        <w:pStyle w:val="BodyText"/>
      </w:pPr>
      <w:r>
        <w:t xml:space="preserve">В основной таблице показываются необработанные заявки со статусом</w:t>
      </w:r>
      <w:r>
        <w:t xml:space="preserve"> </w:t>
      </w:r>
      <w:r>
        <w:rPr>
          <w:rStyle w:val="VerbatimChar"/>
        </w:rPr>
        <w:t xml:space="preserve">I=4</w:t>
      </w:r>
      <w:r>
        <w:t xml:space="preserve">. В строке отображаются свободные экземпляры, шифр, дата, до которой читатель просит продлить издание, описание издания, дата заявки, идентификатор пользователя, пользователь, примечание пользователя и база данных. Дополнительные колонки задаются профилем.</w:t>
      </w:r>
    </w:p>
    <w:p>
      <w:pPr>
        <w:pStyle w:val="BodyText"/>
      </w:pPr>
      <w:r>
        <w:t xml:space="preserve">После выполнения или отказа заявка исключается из текущего списка и переносится в соответствующую историю.</w:t>
      </w:r>
    </w:p>
    <w:bookmarkStart w:id="192" w:name="создание-заявки-читателем"/>
    <w:p>
      <w:pPr>
        <w:pStyle w:val="Heading3"/>
      </w:pPr>
      <w:r>
        <w:t xml:space="preserve">1. Создание заявки читателем</w:t>
      </w:r>
    </w:p>
    <w:p>
      <w:pPr>
        <w:pStyle w:val="FirstParagraph"/>
      </w:pPr>
      <w:r>
        <w:t xml:space="preserve">Читатель создает заявку из личного кабинета в разделе «Книги на руках» (</w:t>
      </w:r>
      <w:r>
        <w:rPr>
          <w:rStyle w:val="VerbatimChar"/>
        </w:rPr>
        <w:t xml:space="preserve">?id=GetKvInfo</w:t>
      </w:r>
      <w:r>
        <w:t xml:space="preserve">). Кнопка «Продлить» показывается у текущей выдачи только тогда, когда по этому экземпляру еще нет заявки на продление.</w:t>
      </w:r>
    </w:p>
    <w:p>
      <w:pPr>
        <w:pStyle w:val="BodyText"/>
      </w:pPr>
      <w:r>
        <w:t xml:space="preserve">После нажатия кнопки открывается форма «Заявка на продление срока пользования изданием». В форме отображается краткое описание издания, поле «Желаемая дата возврата» и поле «Примечание к заявке». Дата по умолчанию рассчитывается от текущей даты по настройке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; если настройка не задана или задана некорректно, используется 14 дней.</w:t>
      </w:r>
    </w:p>
    <w:p>
      <w:pPr>
        <w:pStyle w:val="BodyText"/>
      </w:pPr>
      <w:r>
        <w:t xml:space="preserve">При сохранении заявки система проверяет, что желаемая дата больше текущей даты и больше текущего срока возврата экземпляра. Если для той же пары «читатель - издание» уже есть заявка или другой заказ, новая заявка не создается.</w:t>
      </w:r>
    </w:p>
    <w:p>
      <w:pPr>
        <w:pStyle w:val="BodyText"/>
      </w:pPr>
      <w:r>
        <w:t xml:space="preserve">После успешного создания в базе заказов появляется запись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В записи сохраняются желаемая дата возврата, база читателей, идентификатор читателя, шифр издания, база изданий, инвентарный номер или штрих-код экземпляра и примечание пользователя. В формуляре читателя у соответствующей выдачи записывается дата заявки. В личном кабинете рядом со сроком возврата отображается отметка «в обработке заявка на продление до …», и кнопка повторного создания заявки для этой выдачи скрывается.</w:t>
      </w:r>
    </w:p>
    <w:bookmarkEnd w:id="192"/>
    <w:bookmarkStart w:id="193" w:name="обработка-заявки"/>
    <w:p>
      <w:pPr>
        <w:pStyle w:val="Heading3"/>
      </w:pPr>
      <w:r>
        <w:t xml:space="preserve">2. Обработка заявки</w:t>
      </w:r>
    </w:p>
    <w:p>
      <w:pPr>
        <w:pStyle w:val="FirstParagraph"/>
      </w:pPr>
      <w:r>
        <w:t xml:space="preserve">При открытии вкладки АРМ строит список текущих заявок по фильтру типа продления и статуса необработанной заявки. Если в АРМ выбран текущий читатель, список дополнительно ограничивается его идентификатором. Администратор может добавить к этому отбору фильтр профиля.</w:t>
      </w:r>
    </w:p>
    <w:p>
      <w:pPr>
        <w:pStyle w:val="BodyText"/>
      </w:pPr>
      <w:r>
        <w:t xml:space="preserve">Библиотекарь выбирает строку заявки и выполняет одно из действий:</w:t>
      </w:r>
    </w:p>
    <w:p>
      <w:pPr>
        <w:pStyle w:val="Compact"/>
        <w:numPr>
          <w:ilvl w:val="0"/>
          <w:numId w:val="1019"/>
        </w:numPr>
      </w:pPr>
      <w:r>
        <w:t xml:space="preserve">«Выполнить» - подтвердить продление и указать новый срок возврата;</w:t>
      </w:r>
    </w:p>
    <w:p>
      <w:pPr>
        <w:pStyle w:val="Compact"/>
        <w:numPr>
          <w:ilvl w:val="0"/>
          <w:numId w:val="1019"/>
        </w:numPr>
      </w:pPr>
      <w:r>
        <w:t xml:space="preserve">«Отказать» - выбрать причину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FirstParagraph"/>
      </w:pPr>
      <w:r>
        <w:t xml:space="preserve">После одобрения заявки АРМ находит выданный экземпляр в формуляре читателя, обновляет срок возврата, записывает дату фактического продления и снимает признак ожидающей заявки из повторения выдачи. Заявка переводится в историю выполненных заявок, которая открывается кнопкой «Выполненные заказы».</w:t>
      </w:r>
    </w:p>
    <w:p>
      <w:pPr>
        <w:pStyle w:val="BodyText"/>
      </w:pPr>
      <w:r>
        <w:t xml:space="preserve">После отказа АРМ записывает причину отказа, дату отказа и ответственное лицо. Если в формуляре читателя было отмечено ожидание продления по этой выдаче, отметка удаляется. Заявка переводится в историю отказов, которая открывается кнопкой «Отказы».</w:t>
      </w:r>
    </w:p>
    <w:p>
      <w:pPr>
        <w:pStyle w:val="BodyText"/>
      </w:pPr>
      <w:r>
        <w:t xml:space="preserve">Если в профиле включены почтовые уведомления и у читателя указан e-mail, АРМ отправляет уведомление об исполнении или отказе.</w:t>
      </w:r>
    </w:p>
    <w:bookmarkEnd w:id="193"/>
    <w:bookmarkStart w:id="227" w:name="кнопки-тулбара-2"/>
    <w:p>
      <w:pPr>
        <w:pStyle w:val="Heading3"/>
      </w:pPr>
      <w:r>
        <w:t xml:space="preserve">3.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на продление. В редакторе доступны поля заявки и технологическая информация;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на продление" title="Редактор записи заявки на продление" id="19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qst-edit.png" id="196" name="Picture"/>
                    <pic:cNvPicPr>
                      <a:picLocks noChangeArrowheads="1" noChangeAspect="1"/>
                    </pic:cNvPicPr>
                  </pic:nvPicPr>
                  <pic:blipFill>
                    <a:blip r:embed="rId1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на продление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на продление.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Продление»" title="Окно «Списки...» формы «Продление»" id="19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lists.png" id="199" name="Picture"/>
                    <pic:cNvPicPr>
                      <a:picLocks noChangeArrowheads="1" noChangeAspect="1"/>
                    </pic:cNvPicPr>
                  </pic:nvPicPr>
                  <pic:blipFill>
                    <a:blip r:embed="rId1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«Продление»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Продление»" title="Окно «Таблицы...» формы «Продление»" id="201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les.png" id="202" name="Picture"/>
                    <pic:cNvPicPr>
                      <a:picLocks noChangeArrowheads="1" noChangeAspect="1"/>
                    </pic:cNvPicPr>
                  </pic:nvPicPr>
                  <pic:blipFill>
                    <a:blip r:embed="rId2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«Продление»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Продление»" title="Окно «Статистические формы» формы «Продление»" id="204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statform.png" id="205" name="Picture"/>
                    <pic:cNvPicPr>
                      <a:picLocks noChangeArrowheads="1" noChangeAspect="1"/>
                    </pic:cNvPicPr>
                  </pic:nvPicPr>
                  <pic:blipFill>
                    <a:blip r:embed="rId2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«Продление»</w:t>
      </w:r>
    </w:p>
    <w:p>
      <w:pPr>
        <w:pStyle w:val="BodyText"/>
      </w:pPr>
      <w:r>
        <w:t xml:space="preserve">Кнопка «Выполнить» открывает окно «Исполнение заявки на продление срока пользования экземпляром издания». В окне есть поле «Новый срок возврата» с календарным вводом даты. Если читатель оставил примечание, оно показывается в этом же окне как поле «Примечание пользователя». Кнопка «Исполнить заказ» подтверждает продление: АРМ находит выданный экземпляр в формуляре читателя и обновляет дату возврата. Кнопка «Отмена» закрывает окно без изменений. Если в профиле включены почтовые уведомления, после успешного продления читателю отправляется e-mail.</w:t>
      </w:r>
    </w:p>
    <w:p>
      <w:pPr>
        <w:pStyle w:val="CaptionedFigure"/>
      </w:pPr>
      <w:r>
        <w:drawing>
          <wp:inline>
            <wp:extent cx="4331368" cy="1925052"/>
            <wp:effectExtent b="0" l="0" r="0" t="0"/>
            <wp:docPr descr="Рисунок 6 - Окно исполнения заявки на продление" title="Окно исполнения заявки на продление" id="207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exec-window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1368" cy="1925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заявки на продление</w:t>
      </w:r>
    </w:p>
    <w:p>
      <w:pPr>
        <w:pStyle w:val="BodyText"/>
      </w:pPr>
      <w:r>
        <w:t xml:space="preserve">Выполнение заявки использует дату из окна исполнения. Если дата не передана, берется дата, записанная в заявке. Если вместо даты передано количество дней, новая дата рассчитывается от текущего дня. При строгой проверке места выдачи АРМ не продлевает экземпляр, выданный на другом месте выдачи, если это запрещено профилем.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отображается запись читателя, связанного с выбранной заявкой.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Продление»" title="Окно «Полное описание читателя» формы «Продление»" id="21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dr-full.png" id="211" name="Picture"/>
                    <pic:cNvPicPr>
                      <a:picLocks noChangeArrowheads="1" noChangeAspect="1"/>
                    </pic:cNvPicPr>
                  </pic:nvPicPr>
                  <pic:blipFill>
                    <a:blip r:embed="rId2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«Продление»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отображается библиографическая запись издания, срок возврата которого требуется продлить.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Продление»" title="Окно «Полное описание издания» формы «Продление»" id="213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book-full.png" id="214" name="Picture"/>
                    <pic:cNvPicPr>
                      <a:picLocks noChangeArrowheads="1" noChangeAspect="1"/>
                    </pic:cNvPicPr>
                  </pic:nvPicPr>
                  <pic:blipFill>
                    <a:blip r:embed="rId2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«Продление»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примечание пользователя или служебное примечание к заявке. После сохранения таблица обновляется.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Продление»" title="Окно «Примечание к заказу» формы «Продление»" id="216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note.png" id="217" name="Picture"/>
                    <pic:cNvPicPr>
                      <a:picLocks noChangeArrowheads="1" noChangeAspect="1"/>
                    </pic:cNvPicPr>
                  </pic:nvPicPr>
                  <pic:blipFill>
                    <a:blip r:embed="rId2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«Продление»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отказов. Если включена почтовая рассылка,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Продление»" title="Меню причин отказа формы «Продление»" id="219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decline-menu.png" id="220" name="Picture"/>
                    <pic:cNvPicPr>
                      <a:picLocks noChangeArrowheads="1" noChangeAspect="1"/>
                    </pic:cNvPicPr>
                  </pic:nvPicPr>
                  <pic:blipFill>
                    <a:blip r:embed="rId2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«Продление»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I=5</w:t>
      </w:r>
      <w:r>
        <w:t xml:space="preserve">: читатель, издание, экземпляр, дата заказа, дата выдачи,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Продление»" title="Окно «Выполненные заказы» формы «Продление»" id="222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issued.png" id="223" name="Picture"/>
                    <pic:cNvPicPr>
                      <a:picLocks noChangeArrowheads="1" noChangeAspect="1"/>
                    </pic:cNvPicPr>
                  </pic:nvPicPr>
                  <pic:blipFill>
                    <a:blip r:embed="rId2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«Продление»</w:t>
      </w:r>
    </w:p>
    <w:p>
      <w:pPr>
        <w:pStyle w:val="BodyText"/>
      </w:pPr>
      <w:r>
        <w:t xml:space="preserve">Кнопка «Отказы» открывает окно истории отказов по заявкам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I=7</w:t>
      </w:r>
      <w:r>
        <w:t xml:space="preserve">: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Продление»" title="Окно «Отказы» формы «Продление»" id="22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deny.png" id="226" name="Picture"/>
                    <pic:cNvPicPr>
                      <a:picLocks noChangeArrowheads="1" noChangeAspect="1"/>
                    </pic:cNvPicPr>
                  </pic:nvPicPr>
                  <pic:blipFill>
                    <a:blip r:embed="rId2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«Продление»</w:t>
      </w:r>
    </w:p>
    <w:bookmarkEnd w:id="227"/>
    <w:bookmarkEnd w:id="228"/>
    <w:bookmarkStart w:id="266" w:name="форма-эдд"/>
    <w:p>
      <w:pPr>
        <w:pStyle w:val="Heading2"/>
      </w:pPr>
      <w:r>
        <w:t xml:space="preserve">Форма «ЭДД»</w:t>
      </w:r>
    </w:p>
    <w:p>
      <w:pPr>
        <w:pStyle w:val="FirstParagraph"/>
      </w:pPr>
      <w:r>
        <w:t xml:space="preserve">Форма «ЭДД» предназначена для обработки заявок электронной доставки документов. Форма доступна, если в профиле книговыдачи включена подсистема ЭДД.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ЭДД» в интерфейсе АРМ «Книговыдача»" title="Форма «ЭДД» в интерфейсе АРМ «Книговыдача»" id="23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.png" id="231" name="Picture"/>
                    <pic:cNvPicPr>
                      <a:picLocks noChangeArrowheads="1" noChangeAspect="1"/>
                    </pic:cNvPicPr>
                  </pic:nvPicPr>
                  <pic:blipFill>
                    <a:blip r:embed="rId2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«ЭДД» в интерфейсе АРМ «Книговыдача»</w:t>
      </w:r>
    </w:p>
    <w:p>
      <w:pPr>
        <w:pStyle w:val="BodyText"/>
      </w:pPr>
      <w:r>
        <w:t xml:space="preserve">В таблице отображаются свободные экземпляры, шифр, описание издания, дата заявки, идентификатор пользователя, пользователь, примечание пользователя, база данных и сведения о страницах. Состав колонок может быть расширен настройками профиля.</w:t>
      </w:r>
    </w:p>
    <w:p>
      <w:pPr>
        <w:pStyle w:val="BodyText"/>
      </w:pPr>
      <w:r>
        <w:t xml:space="preserve">Для выполнения заявки могут потребоваться подготовленные файлы результата ЭДД и права оператора на обработку выбранной записи.</w:t>
      </w:r>
    </w:p>
    <w:bookmarkStart w:id="265" w:name="кнопки-тулбара-3"/>
    <w:p>
      <w:pPr>
        <w:pStyle w:val="Heading3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ЭДД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ЭДД. В редакторе доступны поля заявки, сведения о страницах и технологическая информация.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ЭДД" title="Редактор записи заявки ЭДД" id="23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qst-edit.png" id="234" name="Picture"/>
                    <pic:cNvPicPr>
                      <a:picLocks noChangeArrowheads="1" noChangeAspect="1"/>
                    </pic:cNvPicPr>
                  </pic:nvPicPr>
                  <pic:blipFill>
                    <a:blip r:embed="rId2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ЭДД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ЭДД.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ЭДД»" title="Окно «Списки...» формы «ЭДД»" id="23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lists.png" id="237" name="Picture"/>
                    <pic:cNvPicPr>
                      <a:picLocks noChangeArrowheads="1" noChangeAspect="1"/>
                    </pic:cNvPicPr>
                  </pic:nvPicPr>
                  <pic:blipFill>
                    <a:blip r:embed="rId2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«ЭДД»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ЭДД»" title="Окно «Таблицы...» формы «ЭДД»" id="239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les.png" id="240" name="Picture"/>
                    <pic:cNvPicPr>
                      <a:picLocks noChangeArrowheads="1" noChangeAspect="1"/>
                    </pic:cNvPicPr>
                  </pic:nvPicPr>
                  <pic:blipFill>
                    <a:blip r:embed="rId2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«ЭДД»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ЭДД»" title="Окно «Статистические формы» формы «ЭДД»" id="242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statform.png" id="243" name="Picture"/>
                    <pic:cNvPicPr>
                      <a:picLocks noChangeArrowheads="1" noChangeAspect="1"/>
                    </pic:cNvPicPr>
                  </pic:nvPicPr>
                  <pic:blipFill>
                    <a:blip r:embed="rId2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«ЭДД»</w:t>
      </w:r>
    </w:p>
    <w:p>
      <w:pPr>
        <w:pStyle w:val="BodyText"/>
      </w:pPr>
      <w:r>
        <w:t xml:space="preserve">Кнопка «Выполнить» открывает окно «Исполнение заказа на оцифровку». В окне есть поле «Файл с результатом сканирования» с кнопкой «Выбрать» и поле «Количество отсканированных страниц». Кнопка «Исполнить заказ» загружает файл, сохраняет его в записи заявки, записывает дату выполнения, количество страниц и ссылку на получение результата ЭДД. Кнопка «Отмена» закрывает окно без изменений. Если в профиле включены уведомления, после успешного выполнения читателю отправляется e-mail со ссылкой на результат.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6 - Окно исполнения заказа на оцифровку" title="Окно исполнения заказа на оцифровку" id="245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exec-window.png" id="246" name="Picture"/>
                    <pic:cNvPicPr>
                      <a:picLocks noChangeArrowheads="1" noChangeAspect="1"/>
                    </pic:cNvPicPr>
                  </pic:nvPicPr>
                  <pic:blipFill>
                    <a:blip r:embed="rId2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заказа на оцифровку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показывается запись читателя, оформившего заявку ЭДД.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ЭДД»" title="Окно «Полное описание читателя» формы «ЭДД»" id="248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dr-full.png" id="249" name="Picture"/>
                    <pic:cNvPicPr>
                      <a:picLocks noChangeArrowheads="1" noChangeAspect="1"/>
                    </pic:cNvPicPr>
                  </pic:nvPicPr>
                  <pic:blipFill>
                    <a:blip r:embed="rId2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«ЭДД»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показывается запись издания, по которому запрошена электронная доставка.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ЭДД»" title="Окно «Полное описание издания» формы «ЭДД»" id="251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book-full.png" id="252" name="Picture"/>
                    <pic:cNvPicPr>
                      <a:picLocks noChangeArrowheads="1" noChangeAspect="1"/>
                    </pic:cNvPicPr>
                  </pic:nvPicPr>
                  <pic:blipFill>
                    <a:blip r:embed="rId2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«ЭДД»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просмотреть и изменить примечание к заявке ЭДД.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ЭДД»" title="Окно «Примечание к заказу» формы «ЭДД»" id="254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note.png" id="255" name="Picture"/>
                    <pic:cNvPicPr>
                      <a:picLocks noChangeArrowheads="1" noChangeAspect="1"/>
                    </pic:cNvPicPr>
                  </pic:nvPicPr>
                  <pic:blipFill>
                    <a:blip r:embed="rId2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«ЭДД»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отказов, при включенной рассылке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ЭДД»" title="Меню причин отказа формы «ЭДД»" id="257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decline-menu.png" id="258" name="Picture"/>
                    <pic:cNvPicPr>
                      <a:picLocks noChangeArrowheads="1" noChangeAspect="1"/>
                    </pic:cNvPicPr>
                  </pic:nvPicPr>
                  <pic:blipFill>
                    <a:blip r:embed="rId2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«ЭДД»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ЭДД. В списке отображаются читатель, издание, экземпляр, дата заказа, дата выполнения,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ЭДД»" title="Окно «Выполненные заказы» формы «ЭДД»" id="26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issued.png" id="261" name="Picture"/>
                    <pic:cNvPicPr>
                      <a:picLocks noChangeArrowheads="1" noChangeAspect="1"/>
                    </pic:cNvPicPr>
                  </pic:nvPicPr>
                  <pic:blipFill>
                    <a:blip r:embed="rId2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«ЭДД»</w:t>
      </w:r>
    </w:p>
    <w:p>
      <w:pPr>
        <w:pStyle w:val="BodyText"/>
      </w:pPr>
      <w:r>
        <w:t xml:space="preserve">Кнопка «Отказы» открывает окно истории отказов по ЭДД. В списке отображаются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ЭДД»" title="Окно «Отказы» формы «ЭДД»" id="26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deny.png" id="264" name="Picture"/>
                    <pic:cNvPicPr>
                      <a:picLocks noChangeArrowheads="1" noChangeAspect="1"/>
                    </pic:cNvPicPr>
                  </pic:nvPicPr>
                  <pic:blipFill>
                    <a:blip r:embed="rId2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«ЭДД»</w:t>
      </w:r>
    </w:p>
    <w:bookmarkEnd w:id="265"/>
    <w:bookmarkEnd w:id="266"/>
    <w:bookmarkStart w:id="270" w:name="форма-оперативная-статистика-посещений"/>
    <w:p>
      <w:pPr>
        <w:pStyle w:val="Heading2"/>
      </w:pPr>
      <w:r>
        <w:t xml:space="preserve">Форма «Оперативная статистика посещений»</w:t>
      </w:r>
    </w:p>
    <w:p>
      <w:pPr>
        <w:pStyle w:val="FirstParagraph"/>
      </w:pPr>
      <w:r>
        <w:t xml:space="preserve">Форма предназначена для формирования и отображения сведений по обслуживанию читателей: записи, перерегистрации, посещения, выдачи и возвраты по местам книговыдачи.</w:t>
      </w:r>
    </w:p>
    <w:p>
      <w:pPr>
        <w:pStyle w:val="CaptionedFigure"/>
      </w:pPr>
      <w:r>
        <w:drawing>
          <wp:inline>
            <wp:extent cx="3176336" cy="1183907"/>
            <wp:effectExtent b="0" l="0" r="0" t="0"/>
            <wp:docPr descr="Рисунок 1 - Форма «Оперативная статистика посещений»" title="Форма «Оперативная статистика посещений»" id="268" name="Picture"/>
            <a:graphic>
              <a:graphicData uri="http://schemas.openxmlformats.org/drawingml/2006/picture">
                <pic:pic>
                  <pic:nvPicPr>
                    <pic:cNvPr descr="modules/Bookland/Help/Interface/img/bookland-stat-panel.png" id="269" name="Picture"/>
                    <pic:cNvPicPr>
                      <a:picLocks noChangeArrowheads="1" noChangeAspect="1"/>
                    </pic:cNvPicPr>
                  </pic:nvPicPr>
                  <pic:blipFill>
                    <a:blip r:embed="rId2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6336" cy="11839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«Оперативная статистика посещений»</w:t>
      </w:r>
    </w:p>
    <w:p>
      <w:pPr>
        <w:pStyle w:val="BodyText"/>
      </w:pPr>
      <w:r>
        <w:t xml:space="preserve">Данные показываются за выбранную дату и группируются по месту выдачи с итоговой строкой «ВСЕГО». Для расчета используются префиксы статистики из профиля книговыдачи. Если значения не отображаются, проверьте дату панели, выбранное место выдачи и настройки поисковых префиксов в административном профиле.</w:t>
      </w:r>
    </w:p>
    <w:bookmarkEnd w:id="270"/>
    <w:bookmarkStart w:id="277" w:name="панель-сервисных-операций"/>
    <w:p>
      <w:pPr>
        <w:pStyle w:val="Heading2"/>
      </w:pPr>
      <w:r>
        <w:t xml:space="preserve">Панель сервисных операций</w:t>
      </w:r>
    </w:p>
    <w:p>
      <w:pPr>
        <w:pStyle w:val="FirstParagraph"/>
      </w:pPr>
      <w:r>
        <w:t xml:space="preserve">Панель сервисных операций расположена в верхней и нижней части интерфейса АРМ «Книговыдача».</w:t>
      </w:r>
    </w:p>
    <w:p>
      <w:pPr>
        <w:pStyle w:val="BodyText"/>
      </w:pPr>
      <w:r>
        <w:t xml:space="preserve">Верхняя панель содержит быстрые команды для операций, которые не относятся напрямую к текущему полю ввода: выдача на бронеполку, поиск или открытие записи читателя и издания, работа со списками пользователей, управление открытым доступом и другие дополнительные действия. Состав кнопок зависит от подключенных режимов и настроек профиля.</w:t>
      </w:r>
    </w:p>
    <w:p>
      <w:pPr>
        <w:pStyle w:val="CaptionedFigure"/>
      </w:pPr>
      <w:r>
        <w:drawing>
          <wp:inline>
            <wp:extent cx="5334000" cy="121920"/>
            <wp:effectExtent b="0" l="0" r="0" t="0"/>
            <wp:docPr descr="Рисунок 1 - Верхняя сервисная панель АРМ «Книговыдача»" title="Верхняя сервисная панель АРМ «Книговыдача»" id="272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top.png" id="273" name="Picture"/>
                    <pic:cNvPicPr>
                      <a:picLocks noChangeArrowheads="1" noChangeAspect="1"/>
                    </pic:cNvPicPr>
                  </pic:nvPicPr>
                  <pic:blipFill>
                    <a:blip r:embed="rId2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Верхняя сервисная панель АРМ «Книговыдача»</w:t>
      </w:r>
    </w:p>
    <w:p>
      <w:pPr>
        <w:pStyle w:val="BodyText"/>
      </w:pPr>
      <w:r>
        <w:t xml:space="preserve">Нижняя панель показывает текущий профиль, базу изданий и место выдачи. Здесь же доступна команда «Сменить профиль». После смены профиля АРМ перечитывает настройки, поэтому могут измениться видимые панели, правила выдачи и доступные вкладки заявок.</w:t>
      </w:r>
    </w:p>
    <w:p>
      <w:pPr>
        <w:pStyle w:val="BodyText"/>
      </w:pPr>
      <w:r>
        <w:t xml:space="preserve">Если название профиля, базы или места выдачи не помещается в блок нижней панели, наведите указатель мыши на этот блок. Во всплывающей подсказке отображается полное значение.</w:t>
      </w:r>
    </w:p>
    <w:p>
      <w:pPr>
        <w:pStyle w:val="CaptionedFigure"/>
      </w:pPr>
      <w:r>
        <w:drawing>
          <wp:inline>
            <wp:extent cx="5334000" cy="110490"/>
            <wp:effectExtent b="0" l="0" r="0" t="0"/>
            <wp:docPr descr="Рисунок 2 - Нижняя сервисная панель с текущим профилем" title="Нижняя сервисная панель с текущим профилем" id="275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bottom.png" id="276" name="Picture"/>
                    <pic:cNvPicPr>
                      <a:picLocks noChangeArrowheads="1" noChangeAspect="1"/>
                    </pic:cNvPicPr>
                  </pic:nvPicPr>
                  <pic:blipFill>
                    <a:blip r:embed="rId2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04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Нижняя сервисная панель с текущим профилем</w:t>
      </w:r>
    </w:p>
    <w:p>
      <w:pPr>
        <w:pStyle w:val="BodyText"/>
      </w:pPr>
      <w:r>
        <w:t xml:space="preserve">Кнопка выхода завершает сеанс пользователя и возвращает к авторизации.</w:t>
      </w:r>
    </w:p>
    <w:bookmarkEnd w:id="277"/>
    <w:bookmarkEnd w:id="2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Relationship Type="http://schemas.openxmlformats.org/officeDocument/2006/relationships/image" Id="rId34" Target="media/rId34.png" /><Relationship Type="http://schemas.openxmlformats.org/officeDocument/2006/relationships/image" Id="rId28" Target="media/rId28.png" /><Relationship Type="http://schemas.openxmlformats.org/officeDocument/2006/relationships/image" Id="rId172" Target="media/rId172.png" /><Relationship Type="http://schemas.openxmlformats.org/officeDocument/2006/relationships/image" Id="rId181" Target="media/rId181.png" /><Relationship Type="http://schemas.openxmlformats.org/officeDocument/2006/relationships/image" Id="rId178" Target="media/rId178.png" /><Relationship Type="http://schemas.openxmlformats.org/officeDocument/2006/relationships/image" Id="rId184" Target="media/rId184.png" /><Relationship Type="http://schemas.openxmlformats.org/officeDocument/2006/relationships/image" Id="rId169" Target="media/rId169.png" /><Relationship Type="http://schemas.openxmlformats.org/officeDocument/2006/relationships/image" Id="rId175" Target="media/rId175.png" /><Relationship Type="http://schemas.openxmlformats.org/officeDocument/2006/relationships/image" Id="rId250" Target="media/rId250.png" /><Relationship Type="http://schemas.openxmlformats.org/officeDocument/2006/relationships/image" Id="rId256" Target="media/rId256.png" /><Relationship Type="http://schemas.openxmlformats.org/officeDocument/2006/relationships/image" Id="rId244" Target="media/rId244.png" /><Relationship Type="http://schemas.openxmlformats.org/officeDocument/2006/relationships/image" Id="rId262" Target="media/rId262.png" /><Relationship Type="http://schemas.openxmlformats.org/officeDocument/2006/relationships/image" Id="rId259" Target="media/rId259.png" /><Relationship Type="http://schemas.openxmlformats.org/officeDocument/2006/relationships/image" Id="rId235" Target="media/rId235.png" /><Relationship Type="http://schemas.openxmlformats.org/officeDocument/2006/relationships/image" Id="rId253" Target="media/rId253.png" /><Relationship Type="http://schemas.openxmlformats.org/officeDocument/2006/relationships/image" Id="rId247" Target="media/rId247.png" /><Relationship Type="http://schemas.openxmlformats.org/officeDocument/2006/relationships/image" Id="rId232" Target="media/rId232.png" /><Relationship Type="http://schemas.openxmlformats.org/officeDocument/2006/relationships/image" Id="rId241" Target="media/rId241.png" /><Relationship Type="http://schemas.openxmlformats.org/officeDocument/2006/relationships/image" Id="rId229" Target="media/rId229.png" /><Relationship Type="http://schemas.openxmlformats.org/officeDocument/2006/relationships/image" Id="rId238" Target="media/rId238.png" /><Relationship Type="http://schemas.openxmlformats.org/officeDocument/2006/relationships/image" Id="rId13" Target="media/rId13.png" /><Relationship Type="http://schemas.openxmlformats.org/officeDocument/2006/relationships/image" Id="rId38" Target="media/rId38.png" /><Relationship Type="http://schemas.openxmlformats.org/officeDocument/2006/relationships/image" Id="rId149" Target="media/rId149.png" /><Relationship Type="http://schemas.openxmlformats.org/officeDocument/2006/relationships/image" Id="rId146" Target="media/rId146.png" /><Relationship Type="http://schemas.openxmlformats.org/officeDocument/2006/relationships/image" Id="rId158" Target="media/rId158.png" /><Relationship Type="http://schemas.openxmlformats.org/officeDocument/2006/relationships/image" Id="rId164" Target="media/rId164.png" /><Relationship Type="http://schemas.openxmlformats.org/officeDocument/2006/relationships/image" Id="rId161" Target="media/rId161.png" /><Relationship Type="http://schemas.openxmlformats.org/officeDocument/2006/relationships/image" Id="rId132" Target="media/rId132.png" /><Relationship Type="http://schemas.openxmlformats.org/officeDocument/2006/relationships/image" Id="rId155" Target="media/rId155.png" /><Relationship Type="http://schemas.openxmlformats.org/officeDocument/2006/relationships/image" Id="rId143" Target="media/rId143.png" /><Relationship Type="http://schemas.openxmlformats.org/officeDocument/2006/relationships/image" Id="rId152" Target="media/rId152.png" /><Relationship Type="http://schemas.openxmlformats.org/officeDocument/2006/relationships/image" Id="rId138" Target="media/rId138.png" /><Relationship Type="http://schemas.openxmlformats.org/officeDocument/2006/relationships/image" Id="rId128" Target="media/rId128.png" /><Relationship Type="http://schemas.openxmlformats.org/officeDocument/2006/relationships/image" Id="rId135" Target="media/rId135.png" /><Relationship Type="http://schemas.openxmlformats.org/officeDocument/2006/relationships/image" Id="rId212" Target="media/rId212.png" /><Relationship Type="http://schemas.openxmlformats.org/officeDocument/2006/relationships/image" Id="rId218" Target="media/rId218.png" /><Relationship Type="http://schemas.openxmlformats.org/officeDocument/2006/relationships/image" Id="rId206" Target="media/rId206.png" /><Relationship Type="http://schemas.openxmlformats.org/officeDocument/2006/relationships/image" Id="rId224" Target="media/rId224.png" /><Relationship Type="http://schemas.openxmlformats.org/officeDocument/2006/relationships/image" Id="rId221" Target="media/rId221.png" /><Relationship Type="http://schemas.openxmlformats.org/officeDocument/2006/relationships/image" Id="rId197" Target="media/rId197.png" /><Relationship Type="http://schemas.openxmlformats.org/officeDocument/2006/relationships/image" Id="rId215" Target="media/rId215.png" /><Relationship Type="http://schemas.openxmlformats.org/officeDocument/2006/relationships/image" Id="rId209" Target="media/rId209.png" /><Relationship Type="http://schemas.openxmlformats.org/officeDocument/2006/relationships/image" Id="rId194" Target="media/rId194.png" /><Relationship Type="http://schemas.openxmlformats.org/officeDocument/2006/relationships/image" Id="rId203" Target="media/rId203.png" /><Relationship Type="http://schemas.openxmlformats.org/officeDocument/2006/relationships/image" Id="rId189" Target="media/rId189.png" /><Relationship Type="http://schemas.openxmlformats.org/officeDocument/2006/relationships/image" Id="rId200" Target="media/rId200.png" /><Relationship Type="http://schemas.openxmlformats.org/officeDocument/2006/relationships/image" Id="rId85" Target="media/rId85.png" /><Relationship Type="http://schemas.openxmlformats.org/officeDocument/2006/relationships/image" Id="rId97" Target="media/rId97.png" /><Relationship Type="http://schemas.openxmlformats.org/officeDocument/2006/relationships/image" Id="rId88" Target="media/rId88.png" /><Relationship Type="http://schemas.openxmlformats.org/officeDocument/2006/relationships/image" Id="rId94" Target="media/rId94.png" /><Relationship Type="http://schemas.openxmlformats.org/officeDocument/2006/relationships/image" Id="rId91" Target="media/rId91.png" /><Relationship Type="http://schemas.openxmlformats.org/officeDocument/2006/relationships/image" Id="rId113" Target="media/rId113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67" Target="media/rId67.png" /><Relationship Type="http://schemas.openxmlformats.org/officeDocument/2006/relationships/image" Id="rId77" Target="media/rId77.png" /><Relationship Type="http://schemas.openxmlformats.org/officeDocument/2006/relationships/image" Id="rId74" Target="media/rId74.png" /><Relationship Type="http://schemas.openxmlformats.org/officeDocument/2006/relationships/image" Id="rId64" Target="media/rId64.png" /><Relationship Type="http://schemas.openxmlformats.org/officeDocument/2006/relationships/image" Id="rId61" Target="media/rId61.png" /><Relationship Type="http://schemas.openxmlformats.org/officeDocument/2006/relationships/image" Id="rId71" Target="media/rId71.png" /><Relationship Type="http://schemas.openxmlformats.org/officeDocument/2006/relationships/image" Id="rId82" Target="media/rId82.png" /><Relationship Type="http://schemas.openxmlformats.org/officeDocument/2006/relationships/image" Id="rId123" Target="media/rId123.png" /><Relationship Type="http://schemas.openxmlformats.org/officeDocument/2006/relationships/image" Id="rId48" Target="media/rId48.png" /><Relationship Type="http://schemas.openxmlformats.org/officeDocument/2006/relationships/image" Id="rId45" Target="media/rId45.png" /><Relationship Type="http://schemas.openxmlformats.org/officeDocument/2006/relationships/image" Id="rId267" Target="media/rId267.png" /><Relationship Type="http://schemas.openxmlformats.org/officeDocument/2006/relationships/image" Id="rId9" Target="media/rId9.png" /><Relationship Type="http://schemas.openxmlformats.org/officeDocument/2006/relationships/image" Id="rId105" Target="media/rId105.png" /><Relationship Type="http://schemas.openxmlformats.org/officeDocument/2006/relationships/image" Id="rId101" Target="media/rId101.png" /><Relationship Type="http://schemas.openxmlformats.org/officeDocument/2006/relationships/image" Id="rId274" Target="media/rId274.png" /><Relationship Type="http://schemas.openxmlformats.org/officeDocument/2006/relationships/image" Id="rId271" Target="media/rId271.png" /><Relationship Type="http://schemas.openxmlformats.org/officeDocument/2006/relationships/hyperlink" Id="rId126" Target="?id=Help/Show&amp;m=Bookland/Help/AdminGuide" TargetMode="External" /><Relationship Type="http://schemas.openxmlformats.org/officeDocument/2006/relationships/hyperlink" Id="rId70" Target="?id=Help/Show&amp;m=Bookland/Help/Interface/Visits" TargetMode="External" /><Relationship Type="http://schemas.openxmlformats.org/officeDocument/2006/relationships/hyperlink" Id="rId31" Target="?id=Help/Show&amp;m=Bookland/Interface/BroneShelf" TargetMode="External" /><Relationship Type="http://schemas.openxmlformats.org/officeDocument/2006/relationships/hyperlink" Id="rId42" Target="?id=Help/Show&amp;m=Bookland/Interface/Settings" TargetMode="External" /><Relationship Type="http://schemas.openxmlformats.org/officeDocument/2006/relationships/hyperlink" Id="rId6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6" Target="?id=Help/Show&amp;m=Bookland/Help/AdminGuide" TargetMode="External" /><Relationship Type="http://schemas.openxmlformats.org/officeDocument/2006/relationships/hyperlink" Id="rId70" Target="?id=Help/Show&amp;m=Bookland/Help/Interface/Visits" TargetMode="External" /><Relationship Type="http://schemas.openxmlformats.org/officeDocument/2006/relationships/hyperlink" Id="rId31" Target="?id=Help/Show&amp;m=Bookland/Interface/BroneShelf" TargetMode="External" /><Relationship Type="http://schemas.openxmlformats.org/officeDocument/2006/relationships/hyperlink" Id="rId42" Target="?id=Help/Show&amp;m=Bookland/Interface/Settings" TargetMode="External" /><Relationship Type="http://schemas.openxmlformats.org/officeDocument/2006/relationships/hyperlink" Id="rId6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2026-10-26T14:39:06Z</dcterms:created>
  <dcterms:modified xsi:type="dcterms:W3CDTF">2026-10-26T14:39:06Z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