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J-ИРБИС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-ирбис-128"/>
    <w:p>
      <w:pPr>
        <w:pStyle w:val="Heading1"/>
      </w:pPr>
      <w:r>
        <w:t xml:space="preserve">J-ИРБИС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JIrbis128</w:t>
      </w:r>
      <w:r>
        <w:t xml:space="preserve"> </w:t>
      </w:r>
      <w:r>
        <w:t xml:space="preserve">подключает поставку J-ИРБИС внутри ИРБИС 128 и публикует страницы поисковых режимов, регистрации электронных документов и профессионального интерфейса.</w:t>
      </w:r>
    </w:p>
    <w:bookmarkStart w:id="9" w:name="назначение-jirbis128"/>
    <w:p>
      <w:pPr>
        <w:pStyle w:val="Heading2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J-ИРБИС 128</dc:title>
  <dc:creator/>
  <cp:keywords/>
  <dcterms:created xsi:type="dcterms:W3CDTF">2026-10-24T03:37:10Z</dcterms:created>
  <dcterms:modified xsi:type="dcterms:W3CDTF">2026-10-24T03:37:10Z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