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KSI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ksi"/>
    <w:p>
      <w:pPr>
        <w:pStyle w:val="Heading1"/>
      </w:pPr>
      <w:r>
        <w:t xml:space="preserve">Назначение KSI</w:t>
      </w:r>
    </w:p>
    <w:p>
      <w:pPr>
        <w:pStyle w:val="FirstParagraph"/>
      </w:pPr>
      <w:r>
        <w:rPr>
          <w:rStyle w:val="VerbatimChar"/>
        </w:rPr>
        <w:t xml:space="preserve">KSI</w:t>
      </w:r>
      <w:r>
        <w:t xml:space="preserve"> </w:t>
      </w:r>
      <w:r>
        <w:t xml:space="preserve">является карточным модулем для итоговой части книги суммарного учета. Он использует тип записи</w:t>
      </w:r>
      <w:r>
        <w:t xml:space="preserve"> </w:t>
      </w:r>
      <w:r>
        <w:rPr>
          <w:rStyle w:val="VerbatimChar"/>
        </w:rPr>
        <w:t xml:space="preserve">KSI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для хранения итоговой учетной записи. Детальная структура полей задается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KSI</dc:title>
  <dc:creator/>
  <cp:keywords/>
  <dcterms:created xsi:type="dcterms:W3CDTF">2026-11-08T22:23:10Z</dcterms:created>
  <dcterms:modified xsi:type="dcterms:W3CDTF">2026-11-08T22:23:10Z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