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Раздел описывает универсальные модули Workflow, которые задают проекты, рабочие процессы, статусы, переходы, экраны ввода, фильтры и представления для записей ИРБИС 128.</w:t>
      </w:r>
    </w:p>
    <w:bookmarkStart w:id="9" w:name="назначение-workflow"/>
    <w:p>
      <w:pPr>
        <w:pStyle w:val="Heading2"/>
      </w:pPr>
      <w:r>
        <w:t xml:space="preserve">Назначение Workflow</w:t>
      </w:r>
    </w:p>
    <w:p>
      <w:pPr>
        <w:pStyle w:val="FirstParagraph"/>
      </w:pPr>
      <w:r>
        <w:t xml:space="preserve">Подсистема Workflow предназначена для настройки жизненного цикла записей ИРБИС 128 без жесткой привязки к конкретному прикладному модулю. Она хранит состояние записи, определяет доступные действия пользователя, выполняет переходы между статусами и строит типовые страницы списков и карточек по конфигурации.</w:t>
      </w:r>
    </w:p>
    <w:p>
      <w:pPr>
        <w:pStyle w:val="BodyText"/>
      </w:pPr>
      <w:r>
        <w:t xml:space="preserve">Workflow используется, когда для записей нужно описать:</w:t>
      </w:r>
    </w:p>
    <w:p>
      <w:pPr>
        <w:pStyle w:val="Compact"/>
        <w:numPr>
          <w:ilvl w:val="0"/>
          <w:numId w:val="1001"/>
        </w:numPr>
      </w:pPr>
      <w:r>
        <w:t xml:space="preserve">набор статусов обработки;</w:t>
      </w:r>
    </w:p>
    <w:p>
      <w:pPr>
        <w:pStyle w:val="Compact"/>
        <w:numPr>
          <w:ilvl w:val="0"/>
          <w:numId w:val="1001"/>
        </w:numPr>
      </w:pPr>
      <w:r>
        <w:t xml:space="preserve">допустимые переходы между статусами;</w:t>
      </w:r>
    </w:p>
    <w:p>
      <w:pPr>
        <w:pStyle w:val="Compact"/>
        <w:numPr>
          <w:ilvl w:val="0"/>
          <w:numId w:val="1001"/>
        </w:numPr>
      </w:pPr>
      <w:r>
        <w:t xml:space="preserve">права на выполнение отдельных действий;</w:t>
      </w:r>
    </w:p>
    <w:p>
      <w:pPr>
        <w:pStyle w:val="Compact"/>
        <w:numPr>
          <w:ilvl w:val="0"/>
          <w:numId w:val="1001"/>
        </w:numPr>
      </w:pPr>
      <w:r>
        <w:t xml:space="preserve">формы he3, которые открываются перед переходом;</w:t>
      </w:r>
    </w:p>
    <w:p>
      <w:pPr>
        <w:pStyle w:val="Compact"/>
        <w:numPr>
          <w:ilvl w:val="0"/>
          <w:numId w:val="1001"/>
        </w:numPr>
      </w:pPr>
      <w:r>
        <w:t xml:space="preserve">post-functions, выполняемые после смены состояния;</w:t>
      </w:r>
    </w:p>
    <w:p>
      <w:pPr>
        <w:pStyle w:val="Compact"/>
        <w:numPr>
          <w:ilvl w:val="0"/>
          <w:numId w:val="1001"/>
        </w:numPr>
      </w:pPr>
      <w:r>
        <w:t xml:space="preserve">фильтры списков;</w:t>
      </w:r>
    </w:p>
    <w:p>
      <w:pPr>
        <w:pStyle w:val="Compact"/>
        <w:numPr>
          <w:ilvl w:val="0"/>
          <w:numId w:val="1001"/>
        </w:numPr>
      </w:pPr>
      <w:r>
        <w:t xml:space="preserve">представления списков и карточек.</w:t>
      </w:r>
    </w:p>
    <w:p>
      <w:pPr>
        <w:pStyle w:val="FirstParagraph"/>
      </w:pPr>
      <w:r>
        <w:t xml:space="preserve">Состояние рабочей записи хранится в стандартном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как связь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История действий записывается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Сами настройки Workflow являются обычными записями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для них применяются стандартные механизмы редактирования, прав, индексации, экспорта и импорта.</w:t>
      </w:r>
    </w:p>
    <w:p>
      <w:pPr>
        <w:pStyle w:val="BodyText"/>
      </w:pPr>
      <w:r>
        <w:t xml:space="preserve">Подсистема не должна знать внутреннюю структуру прикладных записей. Специфика прикладного модуля выносится в форматы, рабочие листы, фильтры, представления и workflow-команды модуля.</w:t>
      </w:r>
    </w:p>
    <w:bookmarkEnd w:id="9"/>
    <w:bookmarkStart w:id="15" w:name="архитектура-workflow"/>
    <w:p>
      <w:pPr>
        <w:pStyle w:val="Heading2"/>
      </w:pPr>
      <w:r>
        <w:t xml:space="preserve">Архитектура Workflow</w:t>
      </w:r>
    </w:p>
    <w:p>
      <w:pPr>
        <w:pStyle w:val="FirstParagraph"/>
      </w:pPr>
      <w:r>
        <w:t xml:space="preserve">Workflow построен как набор независимых модулей, каждый из которых отвечает за один вид настройки.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Ответственность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t xml:space="preserve">Рабочий процесс и общий механизм выполнения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t xml:space="preserve">Проект, связывающий типы записей с workflow, схемами, идентификаторами и правами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t xml:space="preserve">Статусы конкретного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t xml:space="preserve">Переходы между статусами и post-functions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t xml:space="preserve">Экран he3 для запроса данных перед операцией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экранов для операций и типов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t xml:space="preserve">Фильтр списка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фильтра для страницы и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t xml:space="preserve">Настройка списочного или карточного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представления для страницы и типа записи</w:t>
            </w:r>
          </w:p>
        </w:tc>
      </w:tr>
    </w:tbl>
    <w:bookmarkStart w:id="10" w:name="основные-связи"/>
    <w:p>
      <w:pPr>
        <w:pStyle w:val="Heading3"/>
      </w:pPr>
      <w:r>
        <w:t xml:space="preserve">1. Основные связи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является точкой входа для прикладного сценария. Проект выбирает workflow по умолчанию, может переопределять его для отдельных системных типов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определяет модуль-владелец и физическую модель записи, а проектный тип объекта выбирает workflow, начальный статус, схемы экранов, фильтров, представлений и профиль полей внутри проекта.</w:t>
      </w:r>
    </w:p>
    <w:p>
      <w:pPr>
        <w:pStyle w:val="BodyText"/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содержит только общую карточку рабочего процесса. Его статусы, переходы, экраны, фильтры и представления хранятся отдельными записями, связанными с workflow через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связывает исходные статусы, целевой статус,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, condition-формат, экран и post-functions. Если переход помечен как</w:t>
      </w:r>
      <w:r>
        <w:t xml:space="preserve"> </w:t>
      </w:r>
      <w:r>
        <w:rPr>
          <w:rStyle w:val="VerbatimChar"/>
        </w:rPr>
        <w:t xml:space="preserve">keepStatus</w:t>
      </w:r>
      <w:r>
        <w:t xml:space="preserve">, он выполняет действие без смены статуса.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вместе формируют универсальные страницы списков.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выбирает представление по ключу страницы и является источником состава верхней навигации проекта: в меню попадают только страницы, перечисленные в активной схеме представлений.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выбирает фильтр по тому же ключу страницы.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пункта меню: группу, порядок, признак показа, тип страницы, canonical route и badge-фильтр.</w:t>
      </w:r>
    </w:p>
    <w:bookmarkEnd w:id="10"/>
    <w:bookmarkStart w:id="11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владельца workflow, если он известен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владельца,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владельца, например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текущий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113^G</w:t>
            </w:r>
          </w:p>
        </w:tc>
        <w:tc>
          <w:tcPr/>
          <w:p>
            <w:pPr>
              <w:pStyle w:val="Compact"/>
            </w:pPr>
            <w:r>
              <w:t xml:space="preserve">дата и время входа в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113^H</w:t>
            </w:r>
          </w:p>
        </w:tc>
        <w:tc>
          <w:tcPr/>
          <w:p>
            <w:pPr>
              <w:pStyle w:val="Compact"/>
            </w:pPr>
            <w:r>
              <w:t xml:space="preserve">ключ последнего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113^I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объекта, если он выбран для этого проекта</w:t>
            </w:r>
          </w:p>
        </w:tc>
      </w:tr>
    </w:tbl>
    <w:p>
      <w:pPr>
        <w:pStyle w:val="BodyText"/>
      </w:pPr>
      <w:r>
        <w:t xml:space="preserve">Одна запись может иметь несколько вхождений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для разных владельцев workflow. Это позволяет одной записи участвовать в нескольких проектах или workflow одновременно, если прикладной сценарий это использует.</w:t>
      </w:r>
    </w:p>
    <w:bookmarkEnd w:id="11"/>
    <w:bookmarkStart w:id="12" w:name="история"/>
    <w:p>
      <w:pPr>
        <w:pStyle w:val="Heading3"/>
      </w:pPr>
      <w:r>
        <w:t xml:space="preserve">3. История</w:t>
      </w:r>
    </w:p>
    <w:p>
      <w:pPr>
        <w:pStyle w:val="FirstParagraph"/>
      </w:pPr>
      <w:r>
        <w:t xml:space="preserve">Workflow пишет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Для workflow-событий используются подполя: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907^A</w:t>
            </w:r>
          </w:p>
        </w:tc>
        <w:tc>
          <w:tcPr/>
          <w:p>
            <w:pPr>
              <w:pStyle w:val="Compact"/>
            </w:pPr>
            <w:r>
              <w:t xml:space="preserve">дата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907^T</w:t>
            </w:r>
          </w:p>
        </w:tc>
        <w:tc>
          <w:tcPr/>
          <w:p>
            <w:pPr>
              <w:pStyle w:val="Compact"/>
            </w:pPr>
            <w:r>
              <w:t xml:space="preserve">время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HHMMSS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907^B</w:t>
            </w:r>
          </w:p>
        </w:tc>
        <w:tc>
          <w:tcPr/>
          <w:p>
            <w:pPr>
              <w:pStyle w:val="Compact"/>
            </w:pPr>
            <w:r>
              <w:t xml:space="preserve">логин исполнителя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907^C</w:t>
            </w:r>
          </w:p>
        </w:tc>
        <w:tc>
          <w:tcPr/>
          <w:p>
            <w:pPr>
              <w:pStyle w:val="Compact"/>
            </w:pPr>
            <w:r>
              <w:t xml:space="preserve">тип события, для workflow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907^D</w:t>
            </w:r>
          </w:p>
        </w:tc>
        <w:tc>
          <w:tcPr/>
          <w:p>
            <w:pPr>
              <w:pStyle w:val="Compact"/>
            </w:pPr>
            <w:r>
              <w:t xml:space="preserve">название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907^E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907^F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907^G</w:t>
            </w:r>
          </w:p>
        </w:tc>
        <w:tc>
          <w:tcPr/>
          <w:p>
            <w:pPr>
              <w:pStyle w:val="Compact"/>
            </w:pPr>
            <w:r>
              <w:t xml:space="preserve">комментарий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907^W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907^P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907^N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907^U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</w:tbl>
    <w:p>
      <w:pPr>
        <w:pStyle w:val="BodyText"/>
      </w:pPr>
      <w:r>
        <w:t xml:space="preserve">Историю можно выводить стандартной функцией</w:t>
      </w:r>
      <w:r>
        <w:t xml:space="preserve"> </w:t>
      </w:r>
      <w:r>
        <w:rPr>
          <w:rStyle w:val="VerbatimChar"/>
        </w:rPr>
        <w:t xml:space="preserve">Workflow::RenderRecordHistory</w:t>
      </w:r>
      <w:r>
        <w:t xml:space="preserve">.</w:t>
      </w:r>
    </w:p>
    <w:bookmarkEnd w:id="12"/>
    <w:bookmarkStart w:id="13" w:name="права"/>
    <w:p>
      <w:pPr>
        <w:pStyle w:val="Heading3"/>
      </w:pPr>
      <w:r>
        <w:t xml:space="preserve">4. Права</w:t>
      </w:r>
    </w:p>
    <w:p>
      <w:pPr>
        <w:pStyle w:val="FirstParagraph"/>
      </w:pPr>
      <w:r>
        <w:t xml:space="preserve">Настройка доступа следует общей модели прав ИРБИС 128:</w:t>
      </w:r>
    </w:p>
    <w:p>
      <w:pPr>
        <w:pStyle w:val="Compact"/>
        <w:numPr>
          <w:ilvl w:val="0"/>
          <w:numId w:val="1002"/>
        </w:numPr>
      </w:pPr>
      <w:r>
        <w:t xml:space="preserve">право на выполнение перехода задается 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на просмотр и редактирование настроек задается на соответствующих записях;</w:t>
      </w:r>
    </w:p>
    <w:p>
      <w:pPr>
        <w:pStyle w:val="Compact"/>
        <w:numPr>
          <w:ilvl w:val="0"/>
          <w:numId w:val="1002"/>
        </w:numPr>
      </w:pPr>
      <w:r>
        <w:t xml:space="preserve">системные записи защищаются признаком системной поставки и обычно недоступны для редактирования;</w:t>
      </w:r>
    </w:p>
    <w:p>
      <w:pPr>
        <w:pStyle w:val="Compact"/>
        <w:numPr>
          <w:ilvl w:val="0"/>
          <w:numId w:val="1002"/>
        </w:numPr>
      </w:pPr>
      <w:r>
        <w:t xml:space="preserve">при копировании проекта создается пользовательская копия с собственными правами.</w:t>
      </w:r>
    </w:p>
    <w:bookmarkEnd w:id="13"/>
    <w:bookmarkStart w:id="14" w:name="расширение-прикладными-модулями"/>
    <w:p>
      <w:pPr>
        <w:pStyle w:val="Heading3"/>
      </w:pPr>
      <w:r>
        <w:t xml:space="preserve">5. Расширение прикладными модулями</w:t>
      </w:r>
    </w:p>
    <w:p>
      <w:pPr>
        <w:pStyle w:val="FirstParagraph"/>
      </w:pPr>
      <w:r>
        <w:t xml:space="preserve">Прикладной модуль обычно отвечает только за доменную часть: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форматы для колонок, секций карточек, дополнительных заголовочных блоков, доступа и conditions;</w:t>
      </w:r>
    </w:p>
    <w:p>
      <w:pPr>
        <w:pStyle w:val="Compact"/>
        <w:numPr>
          <w:ilvl w:val="0"/>
          <w:numId w:val="1003"/>
        </w:numPr>
      </w:pPr>
      <w:r>
        <w:t xml:space="preserve">реализует workflow-команды в</w:t>
      </w:r>
      <w:r>
        <w:t xml:space="preserve"> </w:t>
      </w:r>
      <w:r>
        <w:rPr>
          <w:rStyle w:val="VerbatimChar"/>
        </w:rPr>
        <w:t xml:space="preserve">__call/Workflow/*.inc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поставляет системный JSON с проектом и связанными настройками.</w:t>
      </w:r>
    </w:p>
    <w:bookmarkEnd w:id="14"/>
    <w:bookmarkEnd w:id="15"/>
    <w:bookmarkStart w:id="27" w:name="модель-данных-workflow"/>
    <w:p>
      <w:pPr>
        <w:pStyle w:val="Heading2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16" w:name="workflow-1"/>
    <w:p>
      <w:pPr>
        <w:pStyle w:val="Heading3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16"/>
    <w:bookmarkStart w:id="17" w:name="workflowproject"/>
    <w:p>
      <w:pPr>
        <w:pStyle w:val="Heading3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7"/>
    <w:bookmarkStart w:id="18" w:name="пользовательские-связи-113-link"/>
    <w:p>
      <w:pPr>
        <w:pStyle w:val="Heading3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8"/>
    <w:bookmarkStart w:id="19" w:name="workflowstatus"/>
    <w:p>
      <w:pPr>
        <w:pStyle w:val="Heading3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9"/>
    <w:bookmarkStart w:id="20" w:name="workflowtransition"/>
    <w:p>
      <w:pPr>
        <w:pStyle w:val="Heading3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20"/>
    <w:bookmarkStart w:id="21" w:name="workflowscreen"/>
    <w:p>
      <w:pPr>
        <w:pStyle w:val="Heading3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21"/>
    <w:bookmarkStart w:id="22" w:name="workflowscreenscheme"/>
    <w:p>
      <w:pPr>
        <w:pStyle w:val="Heading3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22"/>
    <w:bookmarkStart w:id="23" w:name="workflowfilter"/>
    <w:p>
      <w:pPr>
        <w:pStyle w:val="Heading3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23"/>
    <w:bookmarkStart w:id="24" w:name="workflowfilterscheme"/>
    <w:p>
      <w:pPr>
        <w:pStyle w:val="Heading3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24"/>
    <w:bookmarkStart w:id="25" w:name="workflowview"/>
    <w:p>
      <w:pPr>
        <w:pStyle w:val="Heading3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25"/>
    <w:bookmarkStart w:id="26" w:name="workflowviewscheme"/>
    <w:p>
      <w:pPr>
        <w:pStyle w:val="Heading3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26"/>
    <w:bookmarkEnd w:id="27"/>
    <w:bookmarkStart w:id="34" w:name="выполнение-переходов-и-страниц"/>
    <w:p>
      <w:pPr>
        <w:pStyle w:val="Heading2"/>
      </w:pPr>
      <w:r>
        <w:t xml:space="preserve">Выполнение переходов и страниц</w:t>
      </w:r>
    </w:p>
    <w:bookmarkStart w:id="28" w:name="выполнение-перехода"/>
    <w:p>
      <w:pPr>
        <w:pStyle w:val="Heading3"/>
      </w:pPr>
      <w:r>
        <w:t xml:space="preserve">1. Выполнение перехода</w:t>
      </w:r>
    </w:p>
    <w:p>
      <w:pPr>
        <w:pStyle w:val="FirstParagraph"/>
      </w:pPr>
      <w:r>
        <w:t xml:space="preserve">Обычный путь выполнения перехода:</w:t>
      </w:r>
    </w:p>
    <w:p>
      <w:pPr>
        <w:pStyle w:val="Compact"/>
        <w:numPr>
          <w:ilvl w:val="0"/>
          <w:numId w:val="1004"/>
        </w:numPr>
      </w:pPr>
      <w:r>
        <w:t xml:space="preserve">Прикладной код получает проект</w:t>
      </w:r>
      <w:r>
        <w:t xml:space="preserve"> </w:t>
      </w:r>
      <w:r>
        <w:rPr>
          <w:rStyle w:val="VerbatimChar"/>
        </w:rPr>
        <w:t xml:space="preserve">ObjectDataWorkflowProject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Определяется системный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и, если он уже есть, проектный тип объекта из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Проект выбирает workflow для этого типа записи.</w:t>
      </w:r>
    </w:p>
    <w:p>
      <w:pPr>
        <w:pStyle w:val="Compact"/>
        <w:numPr>
          <w:ilvl w:val="0"/>
          <w:numId w:val="1004"/>
        </w:numPr>
      </w:pPr>
      <w:r>
        <w:t xml:space="preserve">Workflow определяет текущий статус записи из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 если записи состояния нет, используется начальный статус проектного типа объекта или начальный статус проекта.</w:t>
      </w:r>
    </w:p>
    <w:p>
      <w:pPr>
        <w:pStyle w:val="Compact"/>
        <w:numPr>
          <w:ilvl w:val="0"/>
          <w:numId w:val="1004"/>
        </w:numPr>
      </w:pPr>
      <w:r>
        <w:t xml:space="preserve">По статусу, ключу перехода или целевому статусу выбирается</w:t>
      </w:r>
      <w:r>
        <w:t xml:space="preserve"> </w:t>
      </w:r>
      <w:r>
        <w:rPr>
          <w:rStyle w:val="VerbatimChar"/>
        </w:rPr>
        <w:t xml:space="preserve">ObjectDataWorkflowTransition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Проверяются активность перехода, маршрут,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и condition-формат; тот же набор проверок доступен через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переход требует экран, сначала открывается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затем he3 сохраняет данные в черновик и вызывает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 request и останавливает выполнение до согласования. После положительного решения continuation запускает тот же переход с повторной проверкой статуса, route, condition, прав и версии настроек.</w:t>
      </w:r>
    </w:p>
    <w:p>
      <w:pPr>
        <w:pStyle w:val="Compact"/>
        <w:numPr>
          <w:ilvl w:val="0"/>
          <w:numId w:val="1004"/>
        </w:numPr>
      </w:pPr>
      <w:r>
        <w:t xml:space="preserve">Workflow обновляет состояние 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Выполняются post-functions перехода.</w:t>
      </w:r>
    </w:p>
    <w:p>
      <w:pPr>
        <w:pStyle w:val="Compact"/>
        <w:numPr>
          <w:ilvl w:val="0"/>
          <w:numId w:val="1004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добавляется история.</w:t>
      </w:r>
    </w:p>
    <w:p>
      <w:pPr>
        <w:pStyle w:val="Compact"/>
        <w:numPr>
          <w:ilvl w:val="0"/>
          <w:numId w:val="1004"/>
        </w:numPr>
      </w:pPr>
      <w:r>
        <w:t xml:space="preserve">Запись сохраняется через штатное сохранение БД или через переданный callback.</w:t>
      </w:r>
    </w:p>
    <w:p>
      <w:pPr>
        <w:pStyle w:val="FirstParagraph"/>
      </w:pPr>
      <w:r>
        <w:t xml:space="preserve">Основные публичные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Workflow::GetRecordWorkflowStatus()</w:t>
            </w:r>
          </w:p>
        </w:tc>
        <w:tc>
          <w:tcPr/>
          <w:p>
            <w:pPr>
              <w:pStyle w:val="Compact"/>
            </w:pPr>
            <w:r>
              <w:t xml:space="preserve">Получить текущий статус записи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Workflow::ExplainRecordTransition()</w:t>
            </w:r>
          </w:p>
        </w:tc>
        <w:tc>
          <w:tcPr/>
          <w:p>
            <w:pPr>
              <w:pStyle w:val="Compact"/>
            </w:pPr>
            <w:r>
              <w:t xml:space="preserve">Получить объяснение доступности перехода: проверки, причины отказа, экран и план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Workflow::CanApplyRecordTransition()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доступность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Workflow::DryRunRecordTransition()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переход без сохранения записи и выполнения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Workflow::ApplyRecordTransition()</w:t>
            </w:r>
          </w:p>
        </w:tc>
        <w:tc>
          <w:tcPr/>
          <w:p>
            <w:pPr>
              <w:pStyle w:val="Compact"/>
            </w:pPr>
            <w:r>
              <w:t xml:space="preserve">Найти и выполнить переход для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Workflow::ApplyTransition()</w:t>
            </w:r>
          </w:p>
        </w:tc>
        <w:tc>
          <w:tcPr/>
          <w:p>
            <w:pPr>
              <w:pStyle w:val="Compact"/>
            </w:pPr>
            <w:r>
              <w:t xml:space="preserve">Выполнить уже выбранный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Workflow::ValidateWorkflowScreen()</w:t>
            </w:r>
          </w:p>
        </w:tc>
        <w:tc>
          <w:tcPr/>
          <w:p>
            <w:pPr>
              <w:pStyle w:val="Compact"/>
            </w:pPr>
            <w:r>
              <w:t xml:space="preserve">Проверить экран перехода перед открытием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Workflow::GetWorkflowImpactAnalysis()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where-used и базовую оценку влияния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базового runtime-контракта Workflow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машинно-читаемый результат с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списком</w:t>
      </w:r>
      <w:r>
        <w:t xml:space="preserve"> </w:t>
      </w:r>
      <w:r>
        <w:rPr>
          <w:rStyle w:val="VerbatimChar"/>
        </w:rPr>
        <w:t xml:space="preserve">checks</w:t>
      </w:r>
      <w:r>
        <w:t xml:space="preserve">, списком причин</w:t>
      </w:r>
      <w:r>
        <w:t xml:space="preserve"> </w:t>
      </w:r>
      <w:r>
        <w:rPr>
          <w:rStyle w:val="VerbatimChar"/>
        </w:rPr>
        <w:t xml:space="preserve">reasons</w:t>
      </w:r>
      <w:r>
        <w:t xml:space="preserve">, описанием перехода, исходным и целевым статусом, требуемым экраном и планом post-functions. Этот метод следует использовать для диагностики кнопок, API, dry-run и сообщений пользователю. Он не изменяет запись.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проверок, но работает с копией записи: показывает будущий workflow-state, признак изменения статуса и причину отказа, если переход сейчас невозможен. Dry-run не сохраняет запись и не выполняет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/</w:t>
      </w:r>
      <w:r>
        <w:rPr>
          <w:rStyle w:val="VerbatimChar"/>
        </w:rPr>
        <w:t xml:space="preserve">gbl</w:t>
      </w:r>
      <w:r>
        <w:t xml:space="preserve"> </w:t>
      </w:r>
      <w:r>
        <w:t xml:space="preserve">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предназначен для администрирования и HealthCheck. Он показывает, какие проекты используют workflow, сколько у него статусов, переходов, экранов, схем, фильтров, представлений и материализованных состояний записей. Это помогает оценить последствия изменения или удаления workflow до фактической правки.</w:t>
      </w:r>
    </w:p>
    <w:bookmarkEnd w:id="28"/>
    <w:bookmarkStart w:id="29" w:name="condition-форматы"/>
    <w:p>
      <w:pPr>
        <w:pStyle w:val="Heading3"/>
      </w:pPr>
      <w:r>
        <w:t xml:space="preserve">2. Condition-форматы</w:t>
      </w:r>
    </w:p>
    <w:p>
      <w:pPr>
        <w:pStyle w:val="FirstParagraph"/>
      </w:pPr>
      <w:r>
        <w:t xml:space="preserve">Condition задается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 имя формата в поле</w:t>
      </w:r>
      <w:r>
        <w:t xml:space="preserve"> </w:t>
      </w:r>
      <w:r>
        <w:rPr>
          <w:rStyle w:val="VerbatimChar"/>
        </w:rPr>
        <w:t xml:space="preserve">1^K</w:t>
      </w:r>
      <w:r>
        <w:t xml:space="preserve">. Формат выполняется через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над копией текущей записи. В параметры форматирования передаются данные workflow: проект, переход, текущий статус, пользователь, входные параметры и другая служебная информация.</w:t>
      </w:r>
    </w:p>
    <w:p>
      <w:pPr>
        <w:pStyle w:val="BodyText"/>
      </w:pPr>
      <w:r>
        <w:t xml:space="preserve">Переход разрешен, если формат возвращает непустое значение, которое не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. Отрицательный числовой результат считается ошибкой выполнения condition.</w:t>
      </w:r>
    </w:p>
    <w:p>
      <w:pPr>
        <w:pStyle w:val="BodyText"/>
      </w:pPr>
      <w:r>
        <w:t xml:space="preserve">Для сложной логики лучше писать формат ИРБИС 128 в контейнере прикладного модуля. Это позволяет читать данные записи и параметры workflow без внесения дополнительных служебных полей в запись.</w:t>
      </w:r>
    </w:p>
    <w:bookmarkEnd w:id="29"/>
    <w:bookmarkStart w:id="30" w:name="экраны-he3"/>
    <w:p>
      <w:pPr>
        <w:pStyle w:val="Heading3"/>
      </w:pPr>
      <w:r>
        <w:t xml:space="preserve">3. Экраны he3</w:t>
      </w:r>
    </w:p>
    <w:p>
      <w:pPr>
        <w:pStyle w:val="FirstParagraph"/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пользователь сначала заполняет экран Workflow.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ключ экрана со схемой he3. Схема должна быть доступна в БД, с которой работает запись.</w:t>
      </w:r>
    </w:p>
    <w:p>
      <w:pPr>
        <w:pStyle w:val="BodyText"/>
      </w:pPr>
      <w:r>
        <w:t xml:space="preserve">Экран может быть полным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частичным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 записи экрана указывается поле записи; при применении черновика Workflow меняет только подполя из WSS и сохраняет остальные подполя этого поля. Если обычный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это поле также применяется частично по подполям вложенной WSS.</w:t>
      </w:r>
    </w:p>
    <w:p>
      <w:pPr>
        <w:pStyle w:val="BodyText"/>
      </w:pPr>
      <w:r>
        <w:t xml:space="preserve">Экран выполняется штатным механизмом he3: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Workflow/InitWorkflowScreenDraft</w:t>
      </w:r>
      <w:r>
        <w:t xml:space="preserve"> </w:t>
      </w:r>
      <w:r>
        <w:t xml:space="preserve">создает черновик;</w:t>
      </w:r>
    </w:p>
    <w:p>
      <w:pPr>
        <w:pStyle w:val="Compact"/>
        <w:numPr>
          <w:ilvl w:val="0"/>
          <w:numId w:val="1005"/>
        </w:numPr>
      </w:pPr>
      <w:r>
        <w:t xml:space="preserve">he3 редактирует запись по рабочему листу;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Workflow/ApplyWorkflowScreen</w:t>
      </w:r>
      <w:r>
        <w:t xml:space="preserve"> </w:t>
      </w:r>
      <w:r>
        <w:t xml:space="preserve">переносит данные черновика в запись и запускает переход;</w:t>
      </w:r>
    </w:p>
    <w:p>
      <w:pPr>
        <w:pStyle w:val="Compact"/>
        <w:numPr>
          <w:ilvl w:val="0"/>
          <w:numId w:val="1005"/>
        </w:numPr>
      </w:pPr>
      <w:r>
        <w:t xml:space="preserve">дополнительные доменные изменения выполняются post-functions.</w:t>
      </w:r>
    </w:p>
    <w:bookmarkEnd w:id="30"/>
    <w:bookmarkStart w:id="31" w:name="согласования-workflowapproval"/>
    <w:p>
      <w:pPr>
        <w:pStyle w:val="Heading3"/>
      </w:pPr>
      <w:r>
        <w:t xml:space="preserve">4. Согласования WorkflowApproval</w:t>
      </w:r>
    </w:p>
    <w:p>
      <w:pPr>
        <w:pStyle w:val="FirstParagraph"/>
      </w:pPr>
      <w:r>
        <w:t xml:space="preserve">Переход может требовать формального согласования, если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заполнено 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. Gate выбирает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, режим применения, condition-формат, экраны действий и параметры continuation.</w:t>
      </w:r>
    </w:p>
    <w:p>
      <w:pPr>
        <w:pStyle w:val="BodyText"/>
      </w:pPr>
      <w:r>
        <w:t xml:space="preserve">При первом запуске такого перехода Workflow не меняет статус записи.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, сохраняет безопасный snapshot данных экрана, участников, route и версий настроек. После выполнения policy request получает состояние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cancelled</w:t>
      </w:r>
      <w:r>
        <w:t xml:space="preserve"> </w:t>
      </w:r>
      <w:r>
        <w:t xml:space="preserve">или остается</w:t>
      </w:r>
      <w:r>
        <w:t xml:space="preserve"> </w:t>
      </w:r>
      <w:r>
        <w:rPr>
          <w:rStyle w:val="VerbatimChar"/>
        </w:rPr>
        <w:t xml:space="preserve">waiting</w:t>
      </w:r>
      <w:r>
        <w:t xml:space="preserve">.</w:t>
      </w:r>
    </w:p>
    <w:p>
      <w:pPr>
        <w:pStyle w:val="BodyText"/>
      </w:pPr>
      <w:r>
        <w:t xml:space="preserve">Continuation не является слепым продолжением старого действия: перед изменением записи Workflow заново проверяет текущий статус, маршрут, condition, права и параметры перехода. Если контекст записи изменился несовместимо, request должен перейти в состояние, требующее нового запуска перехода.</w:t>
      </w:r>
    </w:p>
    <w:bookmarkEnd w:id="31"/>
    <w:bookmarkStart w:id="32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Post-functions хранятся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и выполняются после изменения состояния, но до сохранения записи. Поддерживаются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ключ команды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</w:t>
            </w:r>
            <w:r>
              <w:t xml:space="preserve"> </w:t>
            </w:r>
            <w:r>
              <w:t xml:space="preserve">прикладного модуля</w:t>
            </w:r>
          </w:p>
        </w:tc>
        <w:tc>
          <w:tcPr/>
          <w:p>
            <w:pPr>
              <w:pStyle w:val="Compact"/>
            </w:pPr>
            <w:r>
              <w:t xml:space="preserve">Выполнение PHP-логики прикладного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MNU whitelist и ключ GBL-сценария</w:t>
            </w:r>
          </w:p>
        </w:tc>
        <w:tc>
          <w:tcPr/>
          <w:p>
            <w:pPr>
              <w:pStyle w:val="Compact"/>
            </w:pPr>
            <w:r>
              <w:t xml:space="preserve">Выполнение сценария глобальной корректировки над рабочей копией записи</w:t>
            </w:r>
          </w:p>
        </w:tc>
      </w:tr>
    </w:tbl>
    <w:p>
      <w:pPr>
        <w:pStyle w:val="BodyText"/>
      </w:pPr>
      <w:r>
        <w:t xml:space="preserve">Если post-function возвращает ошибку, Workflow откатывает рабочую запись к исходной копии и не сохраняет результат перехода.</w:t>
      </w:r>
    </w:p>
    <w:bookmarkEnd w:id="32"/>
    <w:bookmarkStart w:id="33" w:name="универсальные-страницы"/>
    <w:p>
      <w:pPr>
        <w:pStyle w:val="Heading3"/>
      </w:pPr>
      <w:r>
        <w:t xml:space="preserve">6. Универсальные страницы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умеет строить страницы списков, карточек, форм создания и досок по настройкам. Пользовательский вход в эти страницы выполняется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 выбором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списка по проекту, типу записи и pageKey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карточки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Kanban/timebox-доски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Верхняя навигация и панель фильтров для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HTML списка без внешней обертки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HTML карточки без внешней обертки страницы</w:t>
            </w:r>
          </w:p>
        </w:tc>
      </w:tr>
    </w:tbl>
    <w:p>
      <w:pPr>
        <w:pStyle w:val="BodyText"/>
      </w:pPr>
      <w:r>
        <w:t xml:space="preserve">Связка страниц работает так: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выбирает представление.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строит верхнюю навигацию только по страницам активной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; одноименная группа представлений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 </w:t>
      </w:r>
      <w:r>
        <w:t xml:space="preserve">задает, какие пункты выводятся в одной панели.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выбирает фильтр из своего поля</w:t>
      </w:r>
      <w:r>
        <w:t xml:space="preserve"> </w:t>
      </w:r>
      <w:r>
        <w:rPr>
          <w:rStyle w:val="VerbatimChar"/>
        </w:rPr>
        <w:t xml:space="preserve">1^I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строит поисковое выражение и описывает доступные элементы панели фильтрации.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выводит строки через форматы колонок.</w:t>
      </w:r>
    </w:p>
    <w:p>
      <w:pPr>
        <w:pStyle w:val="Compact"/>
        <w:numPr>
          <w:ilvl w:val="0"/>
          <w:numId w:val="1006"/>
        </w:numPr>
      </w:pPr>
      <w:r>
        <w:t xml:space="preserve">Клик по строке ведет на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выводит секции карточки и секцию действий Workflow.</w:t>
      </w:r>
    </w:p>
    <w:p>
      <w:pPr>
        <w:pStyle w:val="Compact"/>
        <w:numPr>
          <w:ilvl w:val="0"/>
          <w:numId w:val="1006"/>
        </w:numPr>
      </w:pPr>
      <w:r>
        <w:t xml:space="preserve">Представления 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 вложенную настройку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не строит список или карточку. Оно используется как настраиваемый пункт навигации для внешней прикладной страницы, например страницы создания новой записи. Такая страница может вызвать</w:t>
      </w:r>
      <w:r>
        <w:t xml:space="preserve"> </w:t>
      </w:r>
      <w:r>
        <w:rPr>
          <w:rStyle w:val="VerbatimChar"/>
        </w:rPr>
        <w:t xml:space="preserve">RenderConfiguredNavigation()</w:t>
      </w:r>
      <w:r>
        <w:t xml:space="preserve">, чтобы получить тот же набор ссылок, что и списки проекта.</w:t>
      </w:r>
    </w:p>
    <w:p>
      <w:pPr>
        <w:pStyle w:val="BodyText"/>
      </w:pPr>
      <w:r>
        <w:t xml:space="preserve">Такой механизм позволяет прикладному модулю описывать пользовательские страницы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без собственных wrapper-страниц. Одинокая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заполненной группой навигации сама по себе не добавляет пункт меню, пока на нее не ссылается схема представлений проекта.</w:t>
      </w:r>
    </w:p>
    <w:bookmarkEnd w:id="33"/>
    <w:bookmarkEnd w:id="34"/>
    <w:bookmarkStart w:id="40" w:name="системные-определения-workflow"/>
    <w:p>
      <w:pPr>
        <w:pStyle w:val="Heading2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35" w:name="что-хранится-в-json"/>
    <w:p>
      <w:pPr>
        <w:pStyle w:val="Heading3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35"/>
    <w:bookmarkStart w:id="36" w:name="синхронизация"/>
    <w:p>
      <w:pPr>
        <w:pStyle w:val="Heading3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36"/>
    <w:bookmarkStart w:id="37" w:name="защита-системных-записей"/>
    <w:p>
      <w:pPr>
        <w:pStyle w:val="Heading3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37"/>
    <w:bookmarkStart w:id="38" w:name="пользовательские-варианты"/>
    <w:p>
      <w:pPr>
        <w:pStyle w:val="Heading3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9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9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9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38"/>
    <w:bookmarkStart w:id="39" w:name="импорт-и-экспорт"/>
    <w:p>
      <w:pPr>
        <w:pStyle w:val="Heading3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39"/>
    <w:bookmarkEnd w:id="40"/>
    <w:bookmarkStart w:id="51" w:name="руководство-администратора-workflow"/>
    <w:p>
      <w:pPr>
        <w:pStyle w:val="Heading2"/>
      </w:pPr>
      <w:r>
        <w:t xml:space="preserve">Руководство администратора Workflow</w:t>
      </w:r>
    </w:p>
    <w:bookmarkStart w:id="41" w:name="где-настраивать"/>
    <w:p>
      <w:pPr>
        <w:pStyle w:val="Heading3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10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41"/>
    <w:bookmarkStart w:id="42" w:name="рекомендуемый-порядок-настройки"/>
    <w:p>
      <w:pPr>
        <w:pStyle w:val="Heading3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11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11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11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42"/>
    <w:bookmarkStart w:id="43" w:name="проект"/>
    <w:p>
      <w:pPr>
        <w:pStyle w:val="Heading3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12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12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12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12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12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12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43"/>
    <w:bookmarkStart w:id="44" w:name="статусы"/>
    <w:p>
      <w:pPr>
        <w:pStyle w:val="Heading3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44"/>
    <w:bookmarkStart w:id="45" w:name="переходы"/>
    <w:p>
      <w:pPr>
        <w:pStyle w:val="Heading3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13"/>
        </w:numPr>
      </w:pPr>
      <w:r>
        <w:t xml:space="preserve">workflow;</w:t>
      </w:r>
    </w:p>
    <w:p>
      <w:pPr>
        <w:pStyle w:val="Compact"/>
        <w:numPr>
          <w:ilvl w:val="0"/>
          <w:numId w:val="1013"/>
        </w:numPr>
      </w:pPr>
      <w:r>
        <w:t xml:space="preserve">ключ перехода;</w:t>
      </w:r>
    </w:p>
    <w:p>
      <w:pPr>
        <w:pStyle w:val="Compact"/>
        <w:numPr>
          <w:ilvl w:val="0"/>
          <w:numId w:val="1013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13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13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45"/>
    <w:bookmarkStart w:id="46" w:name="condition"/>
    <w:p>
      <w:pPr>
        <w:pStyle w:val="Heading3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14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14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14"/>
        </w:numPr>
      </w:pPr>
      <w:r>
        <w:t xml:space="preserve">показывать действие только при заполненных обязательных полях.</w:t>
      </w:r>
    </w:p>
    <w:bookmarkEnd w:id="46"/>
    <w:bookmarkStart w:id="47" w:name="экраны"/>
    <w:p>
      <w:pPr>
        <w:pStyle w:val="Heading3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47"/>
    <w:bookmarkStart w:id="48" w:name="фильтры-и-представления"/>
    <w:p>
      <w:pPr>
        <w:pStyle w:val="Heading3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48"/>
    <w:bookmarkStart w:id="49" w:name="карта-workflow"/>
    <w:p>
      <w:pPr>
        <w:pStyle w:val="Heading3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49"/>
    <w:bookmarkStart w:id="50" w:name="проверка-настройки"/>
    <w:p>
      <w:pPr>
        <w:pStyle w:val="Heading3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16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16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16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16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16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16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16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16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16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16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16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16"/>
        </w:numPr>
      </w:pPr>
      <w:r>
        <w:t xml:space="preserve">карточка содержит секцию действий Workflow.</w:t>
      </w:r>
    </w:p>
    <w:bookmarkEnd w:id="50"/>
    <w:bookmarkEnd w:id="51"/>
    <w:bookmarkStart w:id="62" w:name="руководство-программиста-workflow"/>
    <w:p>
      <w:pPr>
        <w:pStyle w:val="Heading2"/>
      </w:pPr>
      <w:r>
        <w:t xml:space="preserve">Руководство программиста Workflow</w:t>
      </w:r>
    </w:p>
    <w:bookmarkStart w:id="52" w:name="роль-прикладного-модуля"/>
    <w:p>
      <w:pPr>
        <w:pStyle w:val="Heading3"/>
      </w:pPr>
      <w:r>
        <w:t xml:space="preserve">1. Роль прикладного модуля</w:t>
      </w:r>
    </w:p>
    <w:p>
      <w:pPr>
        <w:pStyle w:val="FirstParagraph"/>
      </w:pPr>
      <w:r>
        <w:t xml:space="preserve">Прикладной модуль не должен дублировать engine Workflow. Его задача - предоставить доменную конфигурацию и точки расширения:</w:t>
      </w:r>
    </w:p>
    <w:p>
      <w:pPr>
        <w:pStyle w:val="Compact"/>
        <w:numPr>
          <w:ilvl w:val="0"/>
          <w:numId w:val="1017"/>
        </w:numPr>
      </w:pPr>
      <w:r>
        <w:t xml:space="preserve">системный JSON с проектом и workflow;</w:t>
      </w:r>
    </w:p>
    <w:p>
      <w:pPr>
        <w:pStyle w:val="Compact"/>
        <w:numPr>
          <w:ilvl w:val="0"/>
          <w:numId w:val="1017"/>
        </w:numPr>
      </w:pPr>
      <w:r>
        <w:t xml:space="preserve">форматы ИРБИС 128 для колонок, секций, дополнительных заголовочных блоков, доступа и conditions;</w:t>
      </w:r>
    </w:p>
    <w:p>
      <w:pPr>
        <w:pStyle w:val="Compact"/>
        <w:numPr>
          <w:ilvl w:val="0"/>
          <w:numId w:val="1017"/>
        </w:numPr>
      </w:pPr>
      <w:r>
        <w:t xml:space="preserve">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he3;</w:t>
      </w:r>
    </w:p>
    <w:p>
      <w:pPr>
        <w:pStyle w:val="Compact"/>
        <w:numPr>
          <w:ilvl w:val="0"/>
          <w:numId w:val="1017"/>
        </w:numPr>
      </w:pPr>
      <w:r>
        <w:t xml:space="preserve">workflow-команды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;</w:t>
      </w:r>
    </w:p>
    <w:p>
      <w:pPr>
        <w:pStyle w:val="Compact"/>
        <w:numPr>
          <w:ilvl w:val="0"/>
          <w:numId w:val="1017"/>
        </w:numPr>
      </w:pPr>
      <w:r>
        <w:t xml:space="preserve">при необходимости внешние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; списки, карточки, формы создания и доски открываются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bookmarkEnd w:id="52"/>
    <w:bookmarkStart w:id="53" w:name="запуск-перехода"/>
    <w:p>
      <w:pPr>
        <w:pStyle w:val="Heading3"/>
      </w:pPr>
      <w:r>
        <w:t xml:space="preserve">2. Запуск перехода</w:t>
      </w:r>
    </w:p>
    <w:p>
      <w:pPr>
        <w:pStyle w:val="FirstParagraph"/>
      </w:pPr>
      <w:r>
        <w:t xml:space="preserve">Программный запуск перехода выполняется через</w:t>
      </w:r>
      <w:r>
        <w:t xml:space="preserve"> </w:t>
      </w:r>
      <w:r>
        <w:rPr>
          <w:rStyle w:val="VerbatimChar"/>
        </w:rPr>
        <w:t xml:space="preserve">Workflow::ApplyRecordTransition()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$workflow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$project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'WorkflowProject'</w:t>
      </w:r>
      <w:r>
        <w:rPr>
          <w:rStyle w:val="NormalTok"/>
        </w:rPr>
        <w:t xml:space="preserve">)-&gt;GetProjectByKey(</w:t>
      </w:r>
      <w:r>
        <w:rPr>
          <w:rStyle w:val="StringTok"/>
        </w:rPr>
        <w:t xml:space="preserve">'PROJECT'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</w:t>
      </w:r>
      <w:r>
        <w:rPr>
          <w:rStyle w:val="NormalTok"/>
        </w:rPr>
        <w:t xml:space="preserve">-&gt;ApplyRecordTransition(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'finish'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'comment'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'Ответ отправлен'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переход выбирается по целевому статусу, передайте целевой статус вместо пустой строки. Если переход выбирается по ключу, передайте ключ в параметре</w:t>
      </w:r>
      <w:r>
        <w:t xml:space="preserve"> </w:t>
      </w:r>
      <w:r>
        <w:rPr>
          <w:rStyle w:val="VerbatimChar"/>
        </w:rPr>
        <w:t xml:space="preserve">$transitionId</w:t>
      </w:r>
      <w:r>
        <w:t xml:space="preserve">.</w:t>
      </w:r>
    </w:p>
    <w:p>
      <w:pPr>
        <w:pStyle w:val="BodyText"/>
      </w:pPr>
      <w:r>
        <w:t xml:space="preserve">Перед показом кнопки, запуском API-действия или массовой операцией используйте диагностический preflight:</w:t>
      </w:r>
    </w:p>
    <w:p>
      <w:pPr>
        <w:pStyle w:val="SourceCode"/>
      </w:pPr>
      <w:r>
        <w:rPr>
          <w:rStyle w:val="VariableTok"/>
        </w:rPr>
        <w:t xml:space="preserve">$workflowModule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-&gt;FindRecordTransition(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'finish'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instanceof</w:t>
      </w:r>
      <w:r>
        <w:rPr>
          <w:rStyle w:val="NormalTok"/>
        </w:rPr>
        <w:t xml:space="preserve"> ObjectDataWorkflowTransition)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-&gt;ExplainRecordTransition(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 xml:space="preserve">else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'Переход workflow недоступен'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OperatorTok"/>
        </w:rPr>
        <w:t xml:space="preserve">!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]) 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Для проверки без сохранения записи и без выполнения post-functions используйте</w:t>
      </w:r>
      <w:r>
        <w:t xml:space="preserve"> </w:t>
      </w:r>
      <w:r>
        <w:rPr>
          <w:rStyle w:val="VerbatimChar"/>
        </w:rPr>
        <w:t xml:space="preserve">Workflow::DryRunRecordTransition()</w:t>
      </w:r>
      <w:r>
        <w:t xml:space="preserve">. Dry-run возвращает тот же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будущий workflow-state и признак</w:t>
      </w:r>
      <w:r>
        <w:t xml:space="preserve"> </w:t>
      </w:r>
      <w:r>
        <w:rPr>
          <w:rStyle w:val="VerbatimChar"/>
        </w:rPr>
        <w:t xml:space="preserve">wouldChangeRecord</w:t>
      </w:r>
      <w:r>
        <w:t xml:space="preserve">.</w:t>
      </w:r>
    </w:p>
    <w:bookmarkEnd w:id="53"/>
    <w:bookmarkStart w:id="54" w:name="workflow-команды"/>
    <w:p>
      <w:pPr>
        <w:pStyle w:val="Heading3"/>
      </w:pPr>
      <w:r>
        <w:t xml:space="preserve">3. Workflow-команды</w:t>
      </w:r>
    </w:p>
    <w:p>
      <w:pPr>
        <w:pStyle w:val="FirstParagraph"/>
      </w:pPr>
      <w:r>
        <w:t xml:space="preserve">Workflow-команда реализуется как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-функция прикладного модуля в папке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. Класс наследуется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 </w:t>
      </w:r>
      <w:r>
        <w:t xml:space="preserve">и реализует</w:t>
      </w:r>
      <w:r>
        <w:t xml:space="preserve"> </w:t>
      </w:r>
      <w:r>
        <w:rPr>
          <w:rStyle w:val="VerbatimChar"/>
        </w:rPr>
        <w:t xml:space="preserve">Exec(WorkflowContext $ctx): WorkflowCommandResult</w:t>
      </w:r>
      <w:r>
        <w:t xml:space="preserve">.</w:t>
      </w:r>
    </w:p>
    <w:p>
      <w:pPr>
        <w:pStyle w:val="BodyText"/>
      </w:pPr>
      <w:r>
        <w:t xml:space="preserve">Workflow строит список доступных команд самостоятельно: перебирает</w:t>
      </w:r>
      <w:r>
        <w:t xml:space="preserve"> </w:t>
      </w:r>
      <w:r>
        <w:rPr>
          <w:rStyle w:val="VerbatimChar"/>
        </w:rPr>
        <w:t xml:space="preserve">.inc</w:t>
      </w:r>
      <w:r>
        <w:t xml:space="preserve">-файлы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, вычисляет метод по имени файла и читает описание из класса команды. Ключ команды имеет вид</w:t>
      </w:r>
      <w:r>
        <w:t xml:space="preserve"> </w:t>
      </w:r>
      <w:r>
        <w:rPr>
          <w:rStyle w:val="VerbatimChar"/>
        </w:rPr>
        <w:t xml:space="preserve">Module.CommandName</w:t>
      </w:r>
      <w:r>
        <w:t xml:space="preserve">; для вложенных папок путь превращается в точки, например</w:t>
      </w:r>
      <w:r>
        <w:t xml:space="preserve"> </w:t>
      </w:r>
      <w:r>
        <w:rPr>
          <w:rStyle w:val="VerbatimChar"/>
        </w:rPr>
        <w:t xml:space="preserve">Module.Group.CommandName</w:t>
      </w:r>
      <w:r>
        <w:t xml:space="preserve">.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fncall_Module_Workflow_CommandName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ObjectModuleExternalFunctionWorkflow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$PrimaryTypes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'MODULE_RECORD_TYPE'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'user'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'Key'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'userLogin'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GetTitle()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'Записать исполнителя'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GetDescription()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'Записывает в текущую запись логин пользователя, выполняющего переход workflow.'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(WorkflowContext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WorkflowCommandResult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-&gt;GetRecord()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-&gt;GetParam(</w:t>
      </w:r>
      <w:r>
        <w:rPr>
          <w:rStyle w:val="StringTok"/>
        </w:rPr>
        <w:t xml:space="preserve">'user'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-&gt;SetSubField(</w:t>
      </w:r>
      <w:r>
        <w:rPr>
          <w:rStyle w:val="DecValTok"/>
        </w:rPr>
        <w:t xml:space="preserve">100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</w:t>
      </w:r>
      <w:r>
        <w:rPr>
          <w:rStyle w:val="ConstantTok"/>
        </w:rPr>
        <w:t xml:space="preserve">Ok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PrimaryTypes</w:t>
      </w:r>
      <w:r>
        <w:t xml:space="preserve"> </w:t>
      </w:r>
      <w:r>
        <w:t xml:space="preserve">ограничивает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для которых команда может применяться. Если массив пустой, команда считается общей.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задает схему параметров post-function; параметры нормализуются перед вызовом. Поддерживаются источники: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Source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input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данных перехода или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const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конфигурации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context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WorkflowContext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поля текущей записи</w:t>
            </w:r>
          </w:p>
        </w:tc>
      </w:tr>
    </w:tbl>
    <w:bookmarkEnd w:id="54"/>
    <w:bookmarkStart w:id="55" w:name="workflowcontext"/>
    <w:p>
      <w:pPr>
        <w:pStyle w:val="Heading3"/>
      </w:pPr>
      <w:r>
        <w:t xml:space="preserve">4. WorkflowContext</w:t>
      </w:r>
    </w:p>
    <w:p>
      <w:pPr>
        <w:pStyle w:val="FirstParagraph"/>
      </w:pPr>
      <w:r>
        <w:rPr>
          <w:rStyle w:val="VerbatimChar"/>
        </w:rPr>
        <w:t xml:space="preserve">WorkflowContext</w:t>
      </w:r>
      <w:r>
        <w:t xml:space="preserve"> </w:t>
      </w:r>
      <w:r>
        <w:t xml:space="preserve">передается в каждую command post-function.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Что возвращает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GetDb()</w:t>
            </w:r>
          </w:p>
        </w:tc>
        <w:tc>
          <w:tcPr/>
          <w:p>
            <w:pPr>
              <w:pStyle w:val="Compact"/>
            </w:pPr>
            <w:r>
              <w:t xml:space="preserve">текущая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GetRecord()</w:t>
            </w:r>
          </w:p>
        </w:tc>
        <w:tc>
          <w:tcPr/>
          <w:p>
            <w:pPr>
              <w:pStyle w:val="Compact"/>
            </w:pPr>
            <w:r>
              <w:t xml:space="preserve">рабочая копия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GetOriginalRecord()</w:t>
            </w:r>
          </w:p>
        </w:tc>
        <w:tc>
          <w:tcPr/>
          <w:p>
            <w:pPr>
              <w:pStyle w:val="Compact"/>
            </w:pPr>
            <w:r>
              <w:t xml:space="preserve">исходная копия записи до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GetWorkflow()</w:t>
            </w:r>
          </w:p>
        </w:tc>
        <w:tc>
          <w:tcPr/>
          <w:p>
            <w:pPr>
              <w:pStyle w:val="Compact"/>
            </w:pPr>
            <w:r>
              <w:t xml:space="preserve">объект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GetProject()</w:t>
            </w:r>
          </w:p>
        </w:tc>
        <w:tc>
          <w:tcPr/>
          <w:p>
            <w:pPr>
              <w:pStyle w:val="Compact"/>
            </w:pPr>
            <w:r>
              <w:t xml:space="preserve">объект проекта, если переход выполняется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GetWorkflowOwner()</w:t>
            </w:r>
          </w:p>
        </w:tc>
        <w:tc>
          <w:tcPr/>
          <w:p>
            <w:pPr>
              <w:pStyle w:val="Compact"/>
            </w:pPr>
            <w:r>
              <w:t xml:space="preserve">владелец состояния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GetTransition()</w:t>
            </w:r>
          </w:p>
        </w:tc>
        <w:tc>
          <w:tcPr/>
          <w:p>
            <w:pPr>
              <w:pStyle w:val="Compact"/>
            </w:pPr>
            <w:r>
              <w:t xml:space="preserve">выполняемый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GetEffect()</w:t>
            </w:r>
          </w:p>
        </w:tc>
        <w:tc>
          <w:tcPr/>
          <w:p>
            <w:pPr>
              <w:pStyle w:val="Compact"/>
            </w:pPr>
            <w:r>
              <w:t xml:space="preserve">текущая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GetParams()</w:t>
            </w:r>
          </w:p>
        </w:tc>
        <w:tc>
          <w:tcPr/>
          <w:p>
            <w:pPr>
              <w:pStyle w:val="Compact"/>
            </w:pPr>
            <w:r>
              <w:t xml:space="preserve">нормализованные параметры команды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GetInput()</w:t>
            </w:r>
          </w:p>
        </w:tc>
        <w:tc>
          <w:tcPr/>
          <w:p>
            <w:pPr>
              <w:pStyle w:val="Compact"/>
            </w:pPr>
            <w:r>
              <w:t xml:space="preserve">входные данные формы или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GetUserSid()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GetUserLogin()</w:t>
            </w:r>
          </w:p>
        </w:tc>
        <w:tc>
          <w:tcPr/>
          <w:p>
            <w:pPr>
              <w:pStyle w:val="Compact"/>
            </w:pPr>
            <w:r>
              <w:t xml:space="preserve">логин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GetFromStatus()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GetToStatus()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</w:tbl>
    <w:p>
      <w:pPr>
        <w:pStyle w:val="BodyText"/>
      </w:pPr>
      <w:r>
        <w:t xml:space="preserve">Команда должна возвращать</w:t>
      </w:r>
      <w:r>
        <w:t xml:space="preserve"> </w:t>
      </w:r>
      <w:r>
        <w:rPr>
          <w:rStyle w:val="VerbatimChar"/>
        </w:rPr>
        <w:t xml:space="preserve">WorkflowCommandResult::ok()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WorkflowCommandResult::error()</w:t>
      </w:r>
      <w:r>
        <w:t xml:space="preserve">. При ошибке Workflow откатывает изменения записи и не сохраняет переход.</w:t>
      </w:r>
    </w:p>
    <w:bookmarkEnd w:id="55"/>
    <w:bookmarkStart w:id="56" w:name="gbl-post-function"/>
    <w:p>
      <w:pPr>
        <w:pStyle w:val="Heading3"/>
      </w:pPr>
      <w:r>
        <w:t xml:space="preserve">5. GBL post-function</w:t>
      </w:r>
    </w:p>
    <w:p>
      <w:pPr>
        <w:pStyle w:val="FirstParagraph"/>
      </w:pPr>
      <w:r>
        <w:t xml:space="preserve">Для типа</w:t>
      </w:r>
      <w:r>
        <w:t xml:space="preserve"> </w:t>
      </w:r>
      <w:r>
        <w:rPr>
          <w:rStyle w:val="VerbatimChar"/>
        </w:rPr>
        <w:t xml:space="preserve">gbl</w:t>
      </w:r>
      <w:r>
        <w:t xml:space="preserve"> </w:t>
      </w:r>
      <w:r>
        <w:t xml:space="preserve">в переходе указывается MNU whitelist и ключ сценария. Описание пункта MNU должно указывать имя</w:t>
      </w:r>
      <w:r>
        <w:t xml:space="preserve"> </w:t>
      </w:r>
      <w:r>
        <w:rPr>
          <w:rStyle w:val="VerbatimChar"/>
        </w:rPr>
        <w:t xml:space="preserve">.gbl</w:t>
      </w:r>
      <w:r>
        <w:t xml:space="preserve">-файла. Workflow загружает сценарий из БД, подставляет JSON-параметры через</w:t>
      </w:r>
      <w:r>
        <w:t xml:space="preserve"> </w:t>
      </w:r>
      <w:r>
        <w:rPr>
          <w:rStyle w:val="VerbatimChar"/>
        </w:rPr>
        <w:t xml:space="preserve">GlobalCorrection::ApplyParams()</w:t>
      </w:r>
      <w:r>
        <w:t xml:space="preserve"> </w:t>
      </w:r>
      <w:r>
        <w:t xml:space="preserve">и выполняет его над рабочей копией записи.</w:t>
      </w:r>
    </w:p>
    <w:p>
      <w:pPr>
        <w:pStyle w:val="BodyText"/>
      </w:pPr>
      <w:r>
        <w:t xml:space="preserve">GBL удобен для простых массовых преобразований записи, но сложную доменную логику лучше оформлять command-функцией.</w:t>
      </w:r>
    </w:p>
    <w:bookmarkEnd w:id="56"/>
    <w:bookmarkStart w:id="57" w:name="форматы"/>
    <w:p>
      <w:pPr>
        <w:pStyle w:val="Heading3"/>
      </w:pPr>
      <w:r>
        <w:t xml:space="preserve">6. Форматы</w:t>
      </w:r>
    </w:p>
    <w:p>
      <w:pPr>
        <w:pStyle w:val="FirstParagraph"/>
      </w:pPr>
      <w:r>
        <w:t xml:space="preserve">Форматы используются в нескольких местах: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Место</w:t>
            </w:r>
          </w:p>
        </w:tc>
        <w:tc>
          <w:tcPr/>
          <w:p>
            <w:pPr>
              <w:pStyle w:val="Compact"/>
            </w:pPr>
            <w:r>
              <w:t xml:space="preserve">Что должен вернуть формат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condition перехода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доступа представления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колонка списка</w:t>
            </w:r>
          </w:p>
        </w:tc>
        <w:tc>
          <w:tcPr/>
          <w:p>
            <w:pPr>
              <w:pStyle w:val="Compact"/>
            </w:pPr>
            <w:r>
              <w:t xml:space="preserve">HTML ячейки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секция карточки</w:t>
            </w:r>
          </w:p>
        </w:tc>
        <w:tc>
          <w:tcPr/>
          <w:p>
            <w:pPr>
              <w:pStyle w:val="Compact"/>
            </w:pPr>
            <w:r>
              <w:t xml:space="preserve">HTML блока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страницы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HTML-блок перед списком или карточкой</w:t>
            </w:r>
          </w:p>
        </w:tc>
      </w:tr>
    </w:tbl>
    <w:p>
      <w:pPr>
        <w:pStyle w:val="BodyText"/>
      </w:pPr>
      <w:r>
        <w:t xml:space="preserve">Формат ИРБИС 128 должен лежать в контейнере, указанном в настройке представления или определяемом типом записи. Для условий перехода сначала используется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workflow.</w:t>
      </w:r>
    </w:p>
    <w:p>
      <w:pPr>
        <w:pStyle w:val="BodyText"/>
      </w:pPr>
      <w:r>
        <w:t xml:space="preserve">Верхнюю навигацию и панель фильтров не нужно писать отдельным форматом прикладного модуля. Состав меню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параметры отображения пункта -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элементы фильтрации берутся из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7"/>
    <w:bookmarkStart w:id="58" w:name="универсальные-страницы-1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Обычная пользовательская страница проекта вызывается единым маршрутом:</w:t>
      </w:r>
    </w:p>
    <w:p>
      <w:pPr>
        <w:pStyle w:val="SourceCode"/>
      </w:pPr>
      <w:r>
        <w:rPr>
          <w:rStyle w:val="VerbatimChar"/>
        </w:rPr>
        <w:t xml:space="preserve">?id=Workflow/Show&amp;project=PROJECT&amp;recordType=MY_RECORD_TYPE&amp;pageKey=list</w:t>
      </w:r>
    </w:p>
    <w:p>
      <w:pPr>
        <w:pStyle w:val="FirstParagraph"/>
      </w:pPr>
      <w:r>
        <w:t xml:space="preserve">Если требуется программно встроить конкретный renderer, прикладный код может вызвать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напрямую:</w:t>
      </w:r>
    </w:p>
    <w:p>
      <w:pPr>
        <w:pStyle w:val="SourceCode"/>
      </w:pPr>
      <w:r>
        <w:rPr>
          <w:rStyle w:val="KeywordTok"/>
        </w:rPr>
        <w:t xml:space="preserve">echo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)-&gt;Page_RenderConfiguredPage(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'list'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внешней страницы, например специального отчета, можно вывести только общую навигацию проекта:</w:t>
      </w:r>
    </w:p>
    <w:p>
      <w:pPr>
        <w:pStyle w:val="SourceCode"/>
      </w:pPr>
      <w:r>
        <w:rPr>
          <w:rStyle w:val="VariableTok"/>
        </w:rPr>
        <w:t xml:space="preserve">$workflowView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-&gt;RenderConfiguredNavigation(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'Ask'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-&gt;Page_RenderPageContent(</w:t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$formHtml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Чтобы такая страница появилась в навигации, добавьте для нее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включите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и задайте у представления группу навигации.</w:t>
      </w:r>
    </w:p>
    <w:p>
      <w:pPr>
        <w:pStyle w:val="BodyText"/>
      </w:pPr>
      <w:r>
        <w:t xml:space="preserve">Поиск конкретной записи выполняется через настройки идентификатора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поле, подполе и поисковый префикс.</w:t>
      </w:r>
    </w:p>
    <w:bookmarkEnd w:id="58"/>
    <w:bookmarkStart w:id="59" w:name="системный-json-модуля"/>
    <w:p>
      <w:pPr>
        <w:pStyle w:val="Heading3"/>
      </w:pPr>
      <w:r>
        <w:t xml:space="preserve">8. Системный JSON модуля</w:t>
      </w:r>
    </w:p>
    <w:p>
      <w:pPr>
        <w:pStyle w:val="FirstParagraph"/>
      </w:pPr>
      <w:r>
        <w:t xml:space="preserve">Модуль может поставлять JSON с workflow-конфигурацией. Рекомендуемый состав:</w:t>
      </w:r>
    </w:p>
    <w:p>
      <w:pPr>
        <w:pStyle w:val="Compact"/>
        <w:numPr>
          <w:ilvl w:val="0"/>
          <w:numId w:val="1018"/>
        </w:numPr>
      </w:pPr>
      <w:r>
        <w:t xml:space="preserve">один или несколько проектов;</w:t>
      </w:r>
    </w:p>
    <w:p>
      <w:pPr>
        <w:pStyle w:val="Compact"/>
        <w:numPr>
          <w:ilvl w:val="0"/>
          <w:numId w:val="1018"/>
        </w:numPr>
      </w:pPr>
      <w:r>
        <w:t xml:space="preserve">workflow для каждого проекта;</w:t>
      </w:r>
    </w:p>
    <w:p>
      <w:pPr>
        <w:pStyle w:val="Compact"/>
        <w:numPr>
          <w:ilvl w:val="0"/>
          <w:numId w:val="1018"/>
        </w:numPr>
      </w:pPr>
      <w:r>
        <w:t xml:space="preserve">полный набор статусов и переходов;</w:t>
      </w:r>
    </w:p>
    <w:p>
      <w:pPr>
        <w:pStyle w:val="Compact"/>
        <w:numPr>
          <w:ilvl w:val="0"/>
          <w:numId w:val="1018"/>
        </w:numPr>
      </w:pPr>
      <w:r>
        <w:t xml:space="preserve">screens и screenSchemes, если есть формы;</w:t>
      </w:r>
    </w:p>
    <w:p>
      <w:pPr>
        <w:pStyle w:val="Compact"/>
        <w:numPr>
          <w:ilvl w:val="0"/>
          <w:numId w:val="1018"/>
        </w:numPr>
      </w:pPr>
      <w:r>
        <w:t xml:space="preserve">filters и filterSchemes для списков;</w:t>
      </w:r>
    </w:p>
    <w:p>
      <w:pPr>
        <w:pStyle w:val="Compact"/>
        <w:numPr>
          <w:ilvl w:val="0"/>
          <w:numId w:val="1018"/>
        </w:numPr>
      </w:pPr>
      <w:r>
        <w:t xml:space="preserve">views и viewSchemes для UI;</w:t>
      </w:r>
    </w:p>
    <w:p>
      <w:pPr>
        <w:pStyle w:val="Compact"/>
        <w:numPr>
          <w:ilvl w:val="0"/>
          <w:numId w:val="1018"/>
        </w:numPr>
      </w:pPr>
      <w:r>
        <w:t xml:space="preserve">rights на проект, переходы и другие управляемые записи.</w:t>
      </w:r>
    </w:p>
    <w:p>
      <w:pPr>
        <w:pStyle w:val="FirstParagraph"/>
      </w:pPr>
      <w:r>
        <w:t xml:space="preserve">Для подготовки JSON можно настроить проект через интерфейс и воспользоваться экспортом проекта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59"/>
    <w:bookmarkStart w:id="60" w:name="диагностика-и-приемка"/>
    <w:p>
      <w:pPr>
        <w:pStyle w:val="Heading3"/>
      </w:pPr>
      <w:r>
        <w:t xml:space="preserve">9. Диагностика и приемка</w:t>
      </w:r>
    </w:p>
    <w:p>
      <w:pPr>
        <w:pStyle w:val="FirstParagraph"/>
      </w:pPr>
      <w:r>
        <w:rPr>
          <w:rStyle w:val="VerbatimChar"/>
        </w:rPr>
        <w:t xml:space="preserve">Workflow::GetWorkflowImpactAnalysis()</w:t>
      </w:r>
      <w:r>
        <w:t xml:space="preserve"> </w:t>
      </w:r>
      <w:r>
        <w:t xml:space="preserve">показывает, какие проекты, статусы, переходы, экраны, фильтры, представления и материализованные состояния записей связаны с workflow. Используйте его перед удалением или значимым изменением workflow.</w:t>
      </w:r>
    </w:p>
    <w:p>
      <w:pPr>
        <w:pStyle w:val="BodyText"/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реализуют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. Эти проверки не заменяют общесистемный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, но дают модулю-владельцу простой contract-test: доступность зависимых Workflow*-модулей, корректность модели записи, описаний, цветов статусов, маршрутов переходов и реестра command post-functions.</w:t>
      </w:r>
    </w:p>
    <w:bookmarkEnd w:id="60"/>
    <w:bookmarkStart w:id="61" w:name="совместимость"/>
    <w:p>
      <w:pPr>
        <w:pStyle w:val="Heading3"/>
      </w:pPr>
      <w:r>
        <w:t xml:space="preserve">10. Совместимость</w:t>
      </w:r>
    </w:p>
    <w:p>
      <w:pPr>
        <w:pStyle w:val="FirstParagraph"/>
      </w:pPr>
      <w:r>
        <w:t xml:space="preserve">Не привязывайте engine Workflow к конкретному модулю. Если нужна доменная логика, используйте:</w:t>
      </w:r>
    </w:p>
    <w:p>
      <w:pPr>
        <w:pStyle w:val="Compact"/>
        <w:numPr>
          <w:ilvl w:val="0"/>
          <w:numId w:val="1019"/>
        </w:numPr>
      </w:pPr>
      <w:r>
        <w:t xml:space="preserve">command post-function;</w:t>
      </w:r>
    </w:p>
    <w:p>
      <w:pPr>
        <w:pStyle w:val="Compact"/>
        <w:numPr>
          <w:ilvl w:val="0"/>
          <w:numId w:val="1019"/>
        </w:numPr>
      </w:pPr>
      <w:r>
        <w:t xml:space="preserve">condition-формат;</w:t>
      </w:r>
    </w:p>
    <w:p>
      <w:pPr>
        <w:pStyle w:val="Compact"/>
        <w:numPr>
          <w:ilvl w:val="0"/>
          <w:numId w:val="1019"/>
        </w:numPr>
      </w:pPr>
      <w:r>
        <w:t xml:space="preserve">формат колонки или секции;</w:t>
      </w:r>
    </w:p>
    <w:p>
      <w:pPr>
        <w:pStyle w:val="Compact"/>
        <w:numPr>
          <w:ilvl w:val="0"/>
          <w:numId w:val="1019"/>
        </w:numPr>
      </w:pPr>
      <w:r>
        <w:t xml:space="preserve">рабочий лист he3;</w:t>
      </w:r>
    </w:p>
    <w:p>
      <w:pPr>
        <w:pStyle w:val="Compact"/>
        <w:numPr>
          <w:ilvl w:val="0"/>
          <w:numId w:val="1019"/>
        </w:numPr>
      </w:pPr>
      <w:r>
        <w:t xml:space="preserve">настройки страниц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параметров отображения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фильтров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</w:t>
      </w:r>
    </w:p>
    <w:p>
      <w:pPr>
        <w:pStyle w:val="Compact"/>
        <w:numPr>
          <w:ilvl w:val="0"/>
          <w:numId w:val="1019"/>
        </w:numPr>
      </w:pPr>
      <w:r>
        <w:t xml:space="preserve">настройки проекта и схем.</w:t>
      </w:r>
    </w:p>
    <w:p>
      <w:pPr>
        <w:pStyle w:val="FirstParagraph"/>
      </w:pPr>
      <w:r>
        <w:t xml:space="preserve">Такой подход позволяет применять Workflow к разным типам записей, например к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или новым прикладным сущностям.</w:t>
      </w:r>
    </w:p>
    <w:bookmarkEnd w:id="61"/>
    <w:bookmarkEnd w:id="62"/>
    <w:bookmarkStart w:id="124" w:name="модули-workflow"/>
    <w:p>
      <w:pPr>
        <w:pStyle w:val="Heading2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69" w:name="workflow-2"/>
    <w:p>
      <w:pPr>
        <w:pStyle w:val="Heading3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63" w:name="запись-workflow"/>
    <w:p>
      <w:pPr>
        <w:pStyle w:val="Heading4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63"/>
    <w:bookmarkStart w:id="64" w:name="состояние-записи-1"/>
    <w:p>
      <w:pPr>
        <w:pStyle w:val="Heading4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64"/>
    <w:bookmarkStart w:id="65" w:name="исполнение-перехода"/>
    <w:p>
      <w:pPr>
        <w:pStyle w:val="Heading4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20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20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20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20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20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20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65"/>
    <w:bookmarkStart w:id="66" w:name="conditions"/>
    <w:p>
      <w:pPr>
        <w:pStyle w:val="Heading4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66"/>
    <w:bookmarkStart w:id="67" w:name="post-functions-1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67"/>
    <w:bookmarkStart w:id="68" w:name="системные-записи"/>
    <w:p>
      <w:pPr>
        <w:pStyle w:val="Heading4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68"/>
    <w:bookmarkEnd w:id="69"/>
    <w:bookmarkStart w:id="77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70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2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2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2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2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2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2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21"/>
        </w:numPr>
      </w:pPr>
      <w:r>
        <w:t xml:space="preserve">какие схемы экранов, фильтров и представлений применяются.</w:t>
      </w:r>
    </w:p>
    <w:bookmarkEnd w:id="70"/>
    <w:bookmarkStart w:id="71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71"/>
    <w:bookmarkStart w:id="72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72"/>
    <w:bookmarkStart w:id="73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73"/>
    <w:bookmarkStart w:id="74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74"/>
    <w:bookmarkStart w:id="75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2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2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2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2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2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75"/>
    <w:bookmarkStart w:id="76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76"/>
    <w:bookmarkEnd w:id="77"/>
    <w:bookmarkStart w:id="82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78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78"/>
    <w:bookmarkStart w:id="79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79"/>
    <w:bookmarkStart w:id="80" w:name="карта-workflow-1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80"/>
    <w:bookmarkStart w:id="81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81"/>
    <w:bookmarkEnd w:id="82"/>
    <w:bookmarkStart w:id="88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83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83"/>
    <w:bookmarkStart w:id="84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84"/>
    <w:bookmarkStart w:id="85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85"/>
    <w:bookmarkStart w:id="86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23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23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23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23"/>
        </w:numPr>
      </w:pPr>
      <w:r>
        <w:t xml:space="preserve">condition-форматом;</w:t>
      </w:r>
    </w:p>
    <w:p>
      <w:pPr>
        <w:pStyle w:val="Compact"/>
        <w:numPr>
          <w:ilvl w:val="0"/>
          <w:numId w:val="1023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86"/>
    <w:bookmarkStart w:id="87" w:name="post-functions-2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87"/>
    <w:bookmarkEnd w:id="88"/>
    <w:bookmarkStart w:id="9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8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89"/>
    <w:bookmarkStart w:id="9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90"/>
    <w:bookmarkStart w:id="9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91"/>
    <w:bookmarkStart w:id="9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92"/>
    <w:bookmarkStart w:id="93" w:name="использование-1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93"/>
    <w:bookmarkEnd w:id="94"/>
    <w:bookmarkStart w:id="98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5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5"/>
    <w:bookmarkStart w:id="96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96"/>
    <w:bookmarkStart w:id="97" w:name="использование-2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97"/>
    <w:bookmarkEnd w:id="98"/>
    <w:bookmarkStart w:id="106" w:name="workflowfilter-1"/>
    <w:p>
      <w:pPr>
        <w:pStyle w:val="Heading3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99" w:name="запись-workflowfilter"/>
    <w:p>
      <w:pPr>
        <w:pStyle w:val="Heading4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99"/>
    <w:bookmarkStart w:id="100" w:name="запись-workflowfilterslice"/>
    <w:p>
      <w:pPr>
        <w:pStyle w:val="Heading4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100"/>
    <w:bookmarkStart w:id="101" w:name="режим-списка"/>
    <w:p>
      <w:pPr>
        <w:pStyle w:val="Heading4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101"/>
    <w:bookmarkStart w:id="102" w:name="http-параметры"/>
    <w:p>
      <w:pPr>
        <w:pStyle w:val="Heading4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102"/>
    <w:bookmarkStart w:id="103" w:name="материализация"/>
    <w:p>
      <w:pPr>
        <w:pStyle w:val="Heading4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103"/>
    <w:bookmarkStart w:id="104" w:name="impact-анализ"/>
    <w:p>
      <w:pPr>
        <w:pStyle w:val="Heading4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104"/>
    <w:bookmarkStart w:id="105" w:name="использование-3"/>
    <w:p>
      <w:pPr>
        <w:pStyle w:val="Heading4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5"/>
    <w:bookmarkEnd w:id="106"/>
    <w:bookmarkStart w:id="110" w:name="workflowfilterscheme-1"/>
    <w:p>
      <w:pPr>
        <w:pStyle w:val="Heading3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107" w:name="запись-workflowfilterscheme"/>
    <w:p>
      <w:pPr>
        <w:pStyle w:val="Heading4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07"/>
    <w:bookmarkStart w:id="108" w:name="как-выбирается-фильтр"/>
    <w:p>
      <w:pPr>
        <w:pStyle w:val="Heading4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108"/>
    <w:bookmarkStart w:id="109" w:name="использование-4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9"/>
    <w:bookmarkEnd w:id="110"/>
    <w:bookmarkStart w:id="119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111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111"/>
    <w:bookmarkStart w:id="112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12"/>
    <w:bookmarkStart w:id="113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3"/>
    <w:bookmarkStart w:id="114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14"/>
    <w:bookmarkStart w:id="115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15"/>
    <w:bookmarkStart w:id="116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16"/>
    <w:bookmarkStart w:id="117" w:name="универсальные-страницы-2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17"/>
    <w:bookmarkStart w:id="118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18"/>
    <w:bookmarkEnd w:id="119"/>
    <w:bookmarkStart w:id="123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120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20"/>
    <w:bookmarkStart w:id="121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21"/>
    <w:bookmarkStart w:id="122" w:name="использование-5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22"/>
    <w:bookmarkEnd w:id="123"/>
    <w:bookmarkEnd w:id="124"/>
    <w:bookmarkEnd w:id="1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2026-10-26T06:01:33Z</dcterms:created>
  <dcterms:modified xsi:type="dcterms:W3CDTF">2026-10-26T06:01:33Z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