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Наблюдаемость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блюдаемость"/>
    <w:p>
      <w:pPr>
        <w:pStyle w:val="Heading1"/>
      </w:pPr>
      <w:r>
        <w:t xml:space="preserve">Наблюдаемость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задает общесистемный контракт эксплуатационной наблюдаемости ИРБИС 128.</w:t>
      </w:r>
    </w:p>
    <w:p>
      <w:pPr>
        <w:pStyle w:val="BodyText"/>
      </w:pPr>
      <w:r>
        <w:t xml:space="preserve">Он принимает безопасные сигналы от доменных модулей, нормализует envelope, применяет профили метрик и routing policies, строит агрегированные snapshots и формирует диагностические пакеты для администратора.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Эксплуатационный runbook</w:t>
        </w:r>
      </w:hyperlink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Наблюдаемость</dc:title>
  <dc:creator/>
  <cp:keywords/>
  <dcterms:created xsi:type="dcterms:W3CDTF">2026-10-27T03:07:06Z</dcterms:created>
  <dcterms:modified xsi:type="dcterms:W3CDTF">2026-10-27T03:07:06Z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