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1a459b6ba8d867a8a59514a636d51517995ee0"/>
    <w:p>
      <w:pPr>
        <w:pStyle w:val="Heading1"/>
      </w:pPr>
      <w:r>
        <w:t xml:space="preserve">Руководство программиста доски WorkflowView</w:t>
      </w:r>
    </w:p>
    <w:bookmarkStart w:id="9" w:name="границы-ответственности"/>
    <w:p>
      <w:pPr>
        <w:pStyle w:val="Heading2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9"/>
    <w:bookmarkStart w:id="10" w:name="основные-функции"/>
    <w:p>
      <w:pPr>
        <w:pStyle w:val="Heading2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10"/>
    <w:bookmarkStart w:id="11" w:name="карточка"/>
    <w:p>
      <w:pPr>
        <w:pStyle w:val="Heading2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доски WorkflowView</dc:title>
  <dc:creator/>
  <cp:keywords/>
  <dcterms:created xsi:type="dcterms:W3CDTF">2026-11-04T21:33:08Z</dcterms:created>
  <dcterms:modified xsi:type="dcterms:W3CDTF">2026-11-04T21:33:08Z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