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Настройки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и-поля"/>
    <w:p>
      <w:pPr>
        <w:pStyle w:val="Heading1"/>
      </w:pPr>
      <w:r>
        <w:t xml:space="preserve">Настройки поля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хранит общий реестр описаний полей ИРБИС 128. Модуль задает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тип данных, физическую привязку хранения, правила ввода, отображение, поиск, экспорт, API-имена и ссылки на права.</w:t>
      </w:r>
    </w:p>
    <w:p>
      <w:pPr>
        <w:pStyle w:val="BodyText"/>
      </w:pPr>
      <w:r>
        <w:t xml:space="preserve">Модуль не исполняет доменную логику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 других потребителей. Он предоставляет единый источник метаданных поля, на который эти модули могут ссылаться.</w:t>
      </w:r>
    </w:p>
    <w:bookmarkStart w:id="12" w:name="назначение-модуля-fieldconfiguration"/>
    <w:p>
      <w:pPr>
        <w:pStyle w:val="Heading2"/>
      </w:pPr>
      <w:r>
        <w:t xml:space="preserve">Назначение модуля FieldConfiguration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нужен для того, чтобы поле описывалось один раз и далее использовалось в редакторах, публичных формах, списках, карточках, фильтрах, экспорте, API, Help и диагностике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как record-based описание поля;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как набор связанных field keys для типа записи или проекта;</w:t>
      </w:r>
    </w:p>
    <w:p>
      <w:pPr>
        <w:pStyle w:val="Compact"/>
        <w:numPr>
          <w:ilvl w:val="0"/>
          <w:numId w:val="1001"/>
        </w:numPr>
      </w:pPr>
      <w:r>
        <w:t xml:space="preserve">отделять стабильный ключ поля от физического номера поля/подполя записи;</w:t>
      </w:r>
    </w:p>
    <w:p>
      <w:pPr>
        <w:pStyle w:val="Compact"/>
        <w:numPr>
          <w:ilvl w:val="0"/>
          <w:numId w:val="1001"/>
        </w:numPr>
      </w:pPr>
      <w:r>
        <w:t xml:space="preserve">описывать тип данных, подпись, подсказку, обязательность, повторяемость и справочник;</w:t>
      </w:r>
    </w:p>
    <w:p>
      <w:pPr>
        <w:pStyle w:val="Compact"/>
        <w:numPr>
          <w:ilvl w:val="0"/>
          <w:numId w:val="1001"/>
        </w:numPr>
      </w:pPr>
      <w:r>
        <w:t xml:space="preserve">задавать физическую привязку хранения: поле записи, SID-данные, SID-файл, computed или external;</w:t>
      </w:r>
    </w:p>
    <w:p>
      <w:pPr>
        <w:pStyle w:val="Compact"/>
        <w:numPr>
          <w:ilvl w:val="0"/>
          <w:numId w:val="1001"/>
        </w:numPr>
      </w:pPr>
      <w:r>
        <w:t xml:space="preserve">описывать отображение в списке, карточке, печати и API;</w:t>
      </w:r>
    </w:p>
    <w:p>
      <w:pPr>
        <w:pStyle w:val="Compact"/>
        <w:numPr>
          <w:ilvl w:val="0"/>
          <w:numId w:val="1001"/>
        </w:numPr>
      </w:pPr>
      <w:r>
        <w:t xml:space="preserve">задавать search profile: префикс поиска, операторы, сортировку, materialized/full-text режим;</w:t>
      </w:r>
    </w:p>
    <w:p>
      <w:pPr>
        <w:pStyle w:val="Compact"/>
        <w:numPr>
          <w:ilvl w:val="0"/>
          <w:numId w:val="1001"/>
        </w:numPr>
      </w:pPr>
      <w:r>
        <w:t xml:space="preserve">хранить ссылки на permission keys и security scheme, не выполняя проверку прав самостоятельно;</w:t>
      </w:r>
    </w:p>
    <w:p>
      <w:pPr>
        <w:pStyle w:val="Compact"/>
        <w:numPr>
          <w:ilvl w:val="0"/>
          <w:numId w:val="1001"/>
        </w:numPr>
      </w:pPr>
      <w:r>
        <w:t xml:space="preserve">вести явный where-used для screens, views, filters, API, экспорта и Help;</w:t>
      </w:r>
    </w:p>
    <w:p>
      <w:pPr>
        <w:pStyle w:val="Compact"/>
        <w:numPr>
          <w:ilvl w:val="0"/>
          <w:numId w:val="1001"/>
        </w:numPr>
      </w:pPr>
      <w:r>
        <w:t xml:space="preserve">поставлять системные JSON-описания и HealthCheck/TestA-проверки.</w:t>
      </w:r>
    </w:p>
    <w:bookmarkEnd w:id="9"/>
    <w:bookmarkStart w:id="10" w:name="совместимость-с-he2"/>
    <w:p>
      <w:pPr>
        <w:pStyle w:val="Heading3"/>
      </w:pPr>
      <w:r>
        <w:t xml:space="preserve">2. Совместимость с he2</w:t>
      </w:r>
    </w:p>
    <w:p>
      <w:pPr>
        <w:pStyle w:val="FirstParagraph"/>
      </w:pPr>
      <w:r>
        <w:t xml:space="preserve">Старые поля записи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 экспорт в</w:t>
      </w:r>
    </w:p>
    <w:p>
      <w:pPr>
        <w:pStyle w:val="SourceCode"/>
      </w:pPr>
      <w:r>
        <w:rPr>
          <w:rStyle w:val="VerbatimChar"/>
        </w:rPr>
        <w:t xml:space="preserve">DataPath/FieldConfigurations/&lt;fieldHost&gt;/&lt;moduletype&gt;</w:t>
      </w:r>
    </w:p>
    <w:p>
      <w:pPr>
        <w:pStyle w:val="FirstParagraph"/>
      </w:pPr>
      <w:r>
        <w:t xml:space="preserve">сохранены как совместимый runtime layer для существующего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Новый контракт не должен зависеть от этой сериализации: новые потребители получают метаданные через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</w:t>
      </w:r>
    </w:p>
    <w:bookmarkEnd w:id="10"/>
    <w:bookmarkStart w:id="11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отвечает за семантику поля и диагностику ссылок на поле.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исполнение прав,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 </w:t>
      </w:r>
      <w:r>
        <w:t xml:space="preserve">отвечают за рендер и сохранение экранов,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списки и карточки,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отвечает за фильтры,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и другие доменные модули отвечают за бизнес-логику.</w:t>
      </w:r>
    </w:p>
    <w:bookmarkEnd w:id="11"/>
    <w:bookmarkEnd w:id="12"/>
    <w:bookmarkStart w:id="18" w:name="Xb4629802350124cd2ef741373e8fd06c799d1fd"/>
    <w:p>
      <w:pPr>
        <w:pStyle w:val="Heading2"/>
      </w:pPr>
      <w:r>
        <w:t xml:space="preserve">Руководство администратора FieldConfiguration</w:t>
      </w:r>
    </w:p>
    <w:bookmarkStart w:id="13" w:name="запись-поля"/>
    <w:p>
      <w:pPr>
        <w:pStyle w:val="Heading3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13"/>
    <w:bookmarkStart w:id="14" w:name="профили"/>
    <w:p>
      <w:pPr>
        <w:pStyle w:val="Heading3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4"/>
    <w:bookmarkStart w:id="15" w:name="наборы-полей"/>
    <w:p>
      <w:pPr>
        <w:pStyle w:val="Heading3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5"/>
    <w:bookmarkStart w:id="16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6"/>
    <w:bookmarkStart w:id="17" w:name="системные-записи"/>
    <w:p>
      <w:pPr>
        <w:pStyle w:val="Heading3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7"/>
    <w:bookmarkEnd w:id="18"/>
    <w:bookmarkStart w:id="22" w:name="X50e859191e1795199d1594a3cad120fc4266973"/>
    <w:p>
      <w:pPr>
        <w:pStyle w:val="Heading2"/>
      </w:pPr>
      <w:r>
        <w:t xml:space="preserve">Руководство программиста FieldConfiguration</w:t>
      </w:r>
    </w:p>
    <w:bookmarkStart w:id="19" w:name="основной-контракт"/>
    <w:p>
      <w:pPr>
        <w:pStyle w:val="Heading3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19"/>
    <w:bookmarkStart w:id="20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20"/>
    <w:bookmarkStart w:id="21" w:name="не-входит-в-модуль"/>
    <w:p>
      <w:pPr>
        <w:pStyle w:val="Heading3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4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4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4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4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4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21"/>
    <w:bookmarkEnd w:id="22"/>
    <w:bookmarkStart w:id="26" w:name="эксплуатация-fieldconfiguration"/>
    <w:p>
      <w:pPr>
        <w:pStyle w:val="Heading2"/>
      </w:pPr>
      <w:r>
        <w:t xml:space="preserve">Эксплуатация FieldConfiguration</w:t>
      </w:r>
    </w:p>
    <w:bookmarkStart w:id="23" w:name="проверки"/>
    <w:p>
      <w:pPr>
        <w:pStyle w:val="Heading3"/>
      </w:pPr>
      <w:r>
        <w:t xml:space="preserve">1. Проверки</w:t>
      </w:r>
    </w:p>
    <w:p>
      <w:pPr>
        <w:pStyle w:val="FirstParagraph"/>
      </w:pPr>
      <w:r>
        <w:t xml:space="preserve">Минимальная проверка первого промышленного среза:</w:t>
      </w:r>
    </w:p>
    <w:p>
      <w:pPr>
        <w:pStyle w:val="SourceCode"/>
      </w:pPr>
      <w:r>
        <w:rPr>
          <w:rStyle w:val="VerbatimChar"/>
        </w:rPr>
        <w:t xml:space="preserve">UseModule('TestA')-&gt;RunModule('FieldConfiguration', array('levels' =&gt; 'safe-read'))</w:t>
      </w:r>
    </w:p>
    <w:p>
      <w:pPr>
        <w:pStyle w:val="FirstParagraph"/>
      </w:pPr>
      <w:r>
        <w:t xml:space="preserve">Проверяются нормализация field definitions, выбор поля по контексту, where-used diagnostics, legacy-export в dry-run режиме, системный JSON и HealthCheck-описание.</w:t>
      </w:r>
    </w:p>
    <w:bookmarkEnd w:id="23"/>
    <w:bookmarkStart w:id="24" w:name="диагностика"/>
    <w:p>
      <w:pPr>
        <w:pStyle w:val="Heading3"/>
      </w:pPr>
      <w:r>
        <w:t xml:space="preserve">2. Диагностика</w:t>
      </w:r>
    </w:p>
    <w:p>
      <w:pPr>
        <w:pStyle w:val="FirstParagraph"/>
      </w:pPr>
      <w:r>
        <w:t xml:space="preserve">Если поле не находится по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проверьте:</w:t>
      </w:r>
    </w:p>
    <w:p>
      <w:pPr>
        <w:pStyle w:val="Compact"/>
        <w:numPr>
          <w:ilvl w:val="0"/>
          <w:numId w:val="1005"/>
        </w:numPr>
      </w:pPr>
      <w:r>
        <w:t xml:space="preserve">активность описания;</w:t>
      </w:r>
    </w:p>
    <w:p>
      <w:pPr>
        <w:pStyle w:val="Compact"/>
        <w:numPr>
          <w:ilvl w:val="0"/>
          <w:numId w:val="1005"/>
        </w:numPr>
      </w:pPr>
      <w:r>
        <w:t xml:space="preserve">совпадение owner module и record type;</w:t>
      </w:r>
    </w:p>
    <w:p>
      <w:pPr>
        <w:pStyle w:val="Compact"/>
        <w:numPr>
          <w:ilvl w:val="0"/>
          <w:numId w:val="1005"/>
        </w:numPr>
      </w:pPr>
      <w:r>
        <w:t xml:space="preserve">scope и project key;</w:t>
      </w:r>
    </w:p>
    <w:p>
      <w:pPr>
        <w:pStyle w:val="Compact"/>
        <w:numPr>
          <w:ilvl w:val="0"/>
          <w:numId w:val="1005"/>
        </w:numPr>
      </w:pPr>
      <w:r>
        <w:t xml:space="preserve">отсутствие дублей с одинаковым field key в одном scope;</w:t>
      </w:r>
    </w:p>
    <w:p>
      <w:pPr>
        <w:pStyle w:val="Compact"/>
        <w:numPr>
          <w:ilvl w:val="0"/>
          <w:numId w:val="1005"/>
        </w:numPr>
      </w:pPr>
      <w:r>
        <w:t xml:space="preserve">корректность</w:t>
      </w:r>
      <w:r>
        <w:t xml:space="preserve"> </w:t>
      </w:r>
      <w:r>
        <w:rPr>
          <w:rStyle w:val="VerbatimChar"/>
        </w:rPr>
        <w:t xml:space="preserve">storageBinding</w:t>
      </w:r>
      <w:r>
        <w:t xml:space="preserve"> </w:t>
      </w:r>
      <w:r>
        <w:t xml:space="preserve">и search prefix.</w:t>
      </w:r>
    </w:p>
    <w:p>
      <w:pPr>
        <w:pStyle w:val="FirstParagraph"/>
      </w:pPr>
      <w:r>
        <w:t xml:space="preserve">Если старый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не видит настройку, проверьте legacy-поля</w:t>
      </w:r>
      <w:r>
        <w:t xml:space="preserve"> </w:t>
      </w:r>
      <w:r>
        <w:rPr>
          <w:rStyle w:val="VerbatimChar"/>
        </w:rPr>
        <w:t xml:space="preserve">fieldHost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varName</w:t>
      </w:r>
      <w:r>
        <w:t xml:space="preserve"> </w:t>
      </w:r>
      <w:r>
        <w:t xml:space="preserve">и наличие файла в</w:t>
      </w:r>
      <w:r>
        <w:t xml:space="preserve"> </w:t>
      </w:r>
      <w:r>
        <w:rPr>
          <w:rStyle w:val="VerbatimChar"/>
        </w:rPr>
        <w:t xml:space="preserve">DataPath/FieldConfigurations/&lt;fieldHost&gt;/&lt;moduletype&gt;</w:t>
      </w:r>
      <w:r>
        <w:t xml:space="preserve">.</w:t>
      </w:r>
    </w:p>
    <w:bookmarkEnd w:id="24"/>
    <w:bookmarkStart w:id="25" w:name="healthcheck"/>
    <w:p>
      <w:pPr>
        <w:pStyle w:val="Heading3"/>
      </w:pPr>
      <w:r>
        <w:t xml:space="preserve">3. HealthCheck</w:t>
      </w:r>
    </w:p>
    <w:p>
      <w:pPr>
        <w:pStyle w:val="FirstParagraph"/>
      </w:pPr>
      <w:r>
        <w:t xml:space="preserve">Будущий HealthCheck provider должен проверять системный JSON, уникальность ключей, валидность физической привязки, where-used и отсутствие доменной логики потребителей внутри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Настройки поля</dc:title>
  <dc:creator/>
  <cp:keywords/>
  <dcterms:created xsi:type="dcterms:W3CDTF">2026-10-29T07:43:08Z</dcterms:created>
  <dcterms:modified xsi:type="dcterms:W3CDTF">2026-10-29T07:43:08Z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