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парсера импортируемых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парсера-импортируемых-файлов"/>
    <w:p>
      <w:pPr>
        <w:pStyle w:val="Heading1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9" w:name="что-должен-вернуть-парсер"/>
    <w:p>
      <w:pPr>
        <w:pStyle w:val="Heading2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9"/>
    <w:bookmarkStart w:id="10" w:name="связь-с-функцией-слияния"/>
    <w:p>
      <w:pPr>
        <w:pStyle w:val="Heading2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0"/>
    <w:bookmarkStart w:id="11" w:name="практические-правила"/>
    <w:p>
      <w:pPr>
        <w:pStyle w:val="Heading2"/>
      </w:pPr>
      <w:r>
        <w:t xml:space="preserve">3. Практические правила</w:t>
      </w:r>
    </w:p>
    <w:p>
      <w:pPr>
        <w:pStyle w:val="Compact"/>
        <w:numPr>
          <w:ilvl w:val="0"/>
          <w:numId w:val="1003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3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3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3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парсера импортируемых файлов</dc:title>
  <dc:creator/>
  <cp:keywords/>
  <dcterms:created xsi:type="dcterms:W3CDTF">2026-10-25T10:14:03Z</dcterms:created>
  <dcterms:modified xsi:type="dcterms:W3CDTF">2026-10-25T10:14:03Z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