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viewscheme"/>
    <w:p>
      <w:pPr>
        <w:pStyle w:val="Heading1"/>
      </w:pPr>
      <w:r>
        <w:t xml:space="preserve">WorkflowViewScheme</w:t>
      </w:r>
    </w:p>
    <w:p>
      <w:pPr>
        <w:pStyle w:val="FirstParagraph"/>
      </w:pPr>
      <w:r>
        <w:t xml:space="preserve">Модуль хранит схемы выбора представлений для страниц проекта.</w:t>
      </w:r>
    </w:p>
    <w:bookmarkStart w:id="13" w:name="назначение-workflowviewscheme"/>
    <w:p>
      <w:pPr>
        <w:pStyle w:val="Heading2"/>
      </w:pPr>
      <w:r>
        <w:t xml:space="preserve">Назначение WorkflowViewScheme</w:t>
      </w:r>
    </w:p>
    <w:p>
      <w:pPr>
        <w:pStyle w:val="FirstParagraph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связывает тип записи и ключ страницы с представлением списка, карточки, формы создания, внешней страницы или доски. Благодаря этому один и тот же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может обслуживать разные интерфейсы проекта.</w:t>
      </w:r>
    </w:p>
    <w:p>
      <w:pPr>
        <w:pStyle w:val="BodyText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является источником состава верхней навигации проекта: пункт меню появляется только тогда, когда соответствующий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включен в активную схему представлений.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этого пункта, но сама по себе не публикует страницу в меню.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viewscheme-1"/>
    <w:p>
      <w:pPr>
        <w:pStyle w:val="Heading3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9" w:name="запись-workflowviewscheme"/>
    <w:p>
      <w:pPr>
        <w:pStyle w:val="Heading4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представление"/>
    <w:p>
      <w:pPr>
        <w:pStyle w:val="Heading4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0"/>
    <w:bookmarkStart w:id="11" w:name="использование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bookmarkStart w:id="14" w:name="X8101ea77dbc7cd9a447332b2c27dd155d0ad550"/>
    <w:p>
      <w:pPr>
        <w:pStyle w:val="Heading2"/>
      </w:pPr>
      <w:r>
        <w:t xml:space="preserve">Повторная ссылка пропущена: Workflow/Modules/WorkflowViewScheme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WorkflowViewScheme</dc:title>
  <dc:creator/>
  <cp:keywords/>
  <dcterms:created xsi:type="dcterms:W3CDTF">2026-10-30T23:10:38Z</dcterms:created>
  <dcterms:modified xsi:type="dcterms:W3CDTF">2026-10-30T23:10:38Z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