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Указатель ББК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указатель-ббк"/>
    <w:p>
      <w:pPr>
        <w:pStyle w:val="Heading1"/>
      </w:pPr>
      <w:r>
        <w:t xml:space="preserve">Указатель ББК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ATHRB</w:t>
      </w:r>
      <w:r>
        <w:t xml:space="preserve"> </w:t>
      </w:r>
      <w:r>
        <w:t xml:space="preserve">ведёт записи указателя ББК.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, отображаются через форматы модуля и участвуют в подборе классификационных значений.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t xml:space="preserve">База указателя ББК.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GetBbcNodes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ББК.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записи указателя.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 </w:t>
      </w:r>
      <w:r>
        <w:t xml:space="preserve">используются как контролируемый справочник классификационных рубрик ББК.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Указатель ББК</dc:title>
  <dc:creator/>
  <cp:keywords/>
  <dcterms:created xsi:type="dcterms:W3CDTF">2026-10-29T08:31:05Z</dcterms:created>
  <dcterms:modified xsi:type="dcterms:W3CDTF">2026-10-29T08:31:05Z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