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SyncPolicy и ConflictPolicy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syncpolicy-и-conflictpolicy"/>
    <w:p>
      <w:pPr>
        <w:pStyle w:val="Heading1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9" w:name="syncpolicy"/>
    <w:p>
      <w:pPr>
        <w:pStyle w:val="Heading2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1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1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source-of-truth policy;</w:t>
      </w:r>
    </w:p>
    <w:p>
      <w:pPr>
        <w:pStyle w:val="Compact"/>
        <w:numPr>
          <w:ilvl w:val="0"/>
          <w:numId w:val="1001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1"/>
        </w:numPr>
      </w:pPr>
      <w:r>
        <w:t xml:space="preserve">idempotency scope;</w:t>
      </w:r>
    </w:p>
    <w:p>
      <w:pPr>
        <w:pStyle w:val="Compact"/>
        <w:numPr>
          <w:ilvl w:val="0"/>
          <w:numId w:val="1001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1"/>
        </w:numPr>
      </w:pPr>
      <w:r>
        <w:t xml:space="preserve">stale data policy;</w:t>
      </w:r>
    </w:p>
    <w:p>
      <w:pPr>
        <w:pStyle w:val="Compact"/>
        <w:numPr>
          <w:ilvl w:val="0"/>
          <w:numId w:val="1001"/>
        </w:numPr>
      </w:pPr>
      <w:r>
        <w:t xml:space="preserve">retry eligibility;</w:t>
      </w:r>
    </w:p>
    <w:p>
      <w:pPr>
        <w:pStyle w:val="Compact"/>
        <w:numPr>
          <w:ilvl w:val="0"/>
          <w:numId w:val="1001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9"/>
    <w:bookmarkStart w:id="10" w:name="conflictpolicy"/>
    <w:p>
      <w:pPr>
        <w:pStyle w:val="Heading2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10"/>
    <w:bookmarkStart w:id="11" w:name="dry-run-sync"/>
    <w:p>
      <w:pPr>
        <w:pStyle w:val="Heading2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3"/>
        </w:numPr>
      </w:pPr>
      <w:r>
        <w:t xml:space="preserve">normalized payload;</w:t>
      </w:r>
    </w:p>
    <w:p>
      <w:pPr>
        <w:pStyle w:val="Compact"/>
        <w:numPr>
          <w:ilvl w:val="0"/>
          <w:numId w:val="1003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3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3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3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3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3"/>
        </w:numPr>
      </w:pPr>
      <w:r>
        <w:t xml:space="preserve">conflict classes;</w:t>
      </w:r>
    </w:p>
    <w:p>
      <w:pPr>
        <w:pStyle w:val="Compact"/>
        <w:numPr>
          <w:ilvl w:val="0"/>
          <w:numId w:val="1003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3"/>
        </w:numPr>
      </w:pPr>
      <w:r>
        <w:t xml:space="preserve">idempotency fingerprint;</w:t>
      </w:r>
    </w:p>
    <w:p>
      <w:pPr>
        <w:pStyle w:val="Compact"/>
        <w:numPr>
          <w:ilvl w:val="0"/>
          <w:numId w:val="1003"/>
        </w:numPr>
      </w:pPr>
      <w:r>
        <w:t xml:space="preserve">trace metadata;</w:t>
      </w:r>
    </w:p>
    <w:p>
      <w:pPr>
        <w:pStyle w:val="Compact"/>
        <w:numPr>
          <w:ilvl w:val="0"/>
          <w:numId w:val="1003"/>
        </w:numPr>
      </w:pPr>
      <w:r>
        <w:t xml:space="preserve">Security summary;</w:t>
      </w:r>
    </w:p>
    <w:p>
      <w:pPr>
        <w:pStyle w:val="Compact"/>
        <w:numPr>
          <w:ilvl w:val="0"/>
          <w:numId w:val="1003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11"/>
    <w:bookmarkStart w:id="12" w:name="границы-ответственности"/>
    <w:p>
      <w:pPr>
        <w:pStyle w:val="Heading2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SyncPolicy и ConflictPolicy</dc:title>
  <dc:creator/>
  <cp:keywords/>
  <dcterms:created xsi:type="dcterms:W3CDTF">2026-11-01T11:04:11Z</dcterms:created>
  <dcterms:modified xsi:type="dcterms:W3CDTF">2026-11-01T11:04:11Z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