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859191e1795199d1594a3cad120fc4266973"/>
    <w:p>
      <w:pPr>
        <w:pStyle w:val="Heading1"/>
      </w:pPr>
      <w:r>
        <w:t xml:space="preserve">Руководство программиста FieldConfiguration</w:t>
      </w:r>
    </w:p>
    <w:bookmarkStart w:id="9" w:name="основной-контракт"/>
    <w:p>
      <w:pPr>
        <w:pStyle w:val="Heading2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10"/>
    <w:bookmarkStart w:id="11" w:name="не-входит-в-модуль"/>
    <w:p>
      <w:pPr>
        <w:pStyle w:val="Heading2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2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2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2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2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2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2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FieldConfiguration</dc:title>
  <dc:creator/>
  <cp:keywords/>
  <dcterms:created xsi:type="dcterms:W3CDTF">2026-11-01T06:06:08Z</dcterms:created>
  <dcterms:modified xsi:type="dcterms:W3CDTF">2026-11-01T06:06:08Z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