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Базы данных и провайдеры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базы-данных-и-провайдеры-данных"/>
    <w:p>
      <w:pPr>
        <w:pStyle w:val="Heading1"/>
      </w:pPr>
      <w:r>
        <w:t xml:space="preserve">Базы данных и провайдеры данных</w:t>
      </w:r>
    </w:p>
    <w:p>
      <w:pPr>
        <w:pStyle w:val="FirstParagraph"/>
      </w:pPr>
      <w:r>
        <w:t xml:space="preserve">Сервер приложений ИРБИС 128 работает с базами данных через провайдеры данных. Провайдер скрывает особенности конкретного источника данных и предоставляет системе единый набор операций: подключение, поиск, чтение, форматирование и запись.</w:t>
      </w:r>
    </w:p>
    <w:p>
      <w:pPr>
        <w:pStyle w:val="BodyText"/>
      </w:pPr>
      <w:r>
        <w:t xml:space="preserve">Настройка провайдера хранится отдельно от записи БД. Запись БД хранит SID конфигурации провайдера в поле</w:t>
      </w:r>
      <w:r>
        <w:t xml:space="preserve"> </w:t>
      </w:r>
      <w:r>
        <w:rPr>
          <w:rStyle w:val="VerbatimChar"/>
        </w:rPr>
        <w:t xml:space="preserve">221^A</w:t>
      </w:r>
      <w:r>
        <w:t xml:space="preserve">, а имя БД на подключаемом сервере - в поле</w:t>
      </w:r>
      <w:r>
        <w:t xml:space="preserve"> </w:t>
      </w:r>
      <w:r>
        <w:rPr>
          <w:rStyle w:val="VerbatimChar"/>
        </w:rPr>
        <w:t xml:space="preserve">221^B</w:t>
      </w:r>
      <w:r>
        <w:t xml:space="preserve">; в карточке БД эти параметры редактируются как выбор записи конфигурации и строковое поле. Сами параметры соединения находятся в отдельной записи конфигурации провайдера. Для разных типов провайдеров используются отдельные типы записей, совпадающие с модулями провайдеров:</w:t>
      </w:r>
      <w:r>
        <w:t xml:space="preserve"> </w:t>
      </w:r>
      <w:r>
        <w:rPr>
          <w:rStyle w:val="VerbatimChar"/>
        </w:rPr>
        <w:t xml:space="preserve">DP_&lt;TYPE&gt;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DP_WEBIRB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DP_RAIDB0</w:t>
      </w:r>
      <w:r>
        <w:t xml:space="preserve">; такие записи редактируются в АРМ как обычные typed-записи с явными полями параметров секции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, кроме параметров</w:t>
      </w:r>
      <w:r>
        <w:t xml:space="preserve"> </w:t>
      </w:r>
      <w:r>
        <w:rPr>
          <w:rStyle w:val="VerbatimChar"/>
        </w:rPr>
        <w:t xml:space="preserve">DB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TYPE</w:t>
      </w:r>
      <w:r>
        <w:t xml:space="preserve">.</w:t>
      </w:r>
      <w:r>
        <w:t xml:space="preserve"> </w:t>
      </w:r>
      <w:r>
        <w:rPr>
          <w:rStyle w:val="VerbatimChar"/>
        </w:rPr>
        <w:t xml:space="preserve">DB</w:t>
      </w:r>
      <w:r>
        <w:t xml:space="preserve"> </w:t>
      </w:r>
      <w:r>
        <w:t xml:space="preserve">хранится в записи БД, а</w:t>
      </w:r>
      <w:r>
        <w:t xml:space="preserve"> </w:t>
      </w:r>
      <w:r>
        <w:rPr>
          <w:rStyle w:val="VerbatimChar"/>
        </w:rPr>
        <w:t xml:space="preserve">TYPE</w:t>
      </w:r>
      <w:r>
        <w:t xml:space="preserve"> </w:t>
      </w:r>
      <w:r>
        <w:t xml:space="preserve">вычисляется из типа записи в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.</w:t>
      </w:r>
      <w:r>
        <w:t xml:space="preserve"> </w:t>
      </w:r>
      <w:r>
        <w:t xml:space="preserve">Создать или открыть такую запись можно в настройках модуля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в разделе</w:t>
      </w:r>
      <w:r>
        <w:t xml:space="preserve"> </w:t>
      </w:r>
      <w:r>
        <w:rPr>
          <w:b/>
          <w:bCs/>
        </w:rPr>
        <w:t xml:space="preserve">Конфигурации провайдеров данных</w:t>
      </w:r>
      <w:r>
        <w:t xml:space="preserve">. В этом разделе находятся кнопки управления для доступных модулей</w:t>
      </w:r>
      <w:r>
        <w:t xml:space="preserve"> </w:t>
      </w:r>
      <w:r>
        <w:rPr>
          <w:rStyle w:val="VerbatimChar"/>
        </w:rPr>
        <w:t xml:space="preserve">DP_*</w:t>
      </w:r>
      <w:r>
        <w:t xml:space="preserve">; каждая кнопка открывает список записей соответствующего типа, например</w:t>
      </w:r>
      <w:r>
        <w:t xml:space="preserve"> </w:t>
      </w:r>
      <w:r>
        <w:rPr>
          <w:rStyle w:val="VerbatimChar"/>
        </w:rPr>
        <w:t xml:space="preserve">DP_WEBIRB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DP_RAIDB0</w:t>
      </w:r>
      <w:r>
        <w:t xml:space="preserve">.</w:t>
      </w:r>
    </w:p>
    <w:p>
      <w:pPr>
        <w:pStyle w:val="BodyText"/>
      </w:pPr>
      <w:r>
        <w:t xml:space="preserve">Если поле</w:t>
      </w:r>
      <w:r>
        <w:t xml:space="preserve"> </w:t>
      </w:r>
      <w:r>
        <w:rPr>
          <w:rStyle w:val="VerbatimChar"/>
        </w:rPr>
        <w:t xml:space="preserve">221^A</w:t>
      </w:r>
      <w:r>
        <w:t xml:space="preserve"> </w:t>
      </w:r>
      <w:r>
        <w:t xml:space="preserve">в записи БД еще не заполнено, система читает секцию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 </w:t>
      </w:r>
      <w:r>
        <w:t xml:space="preserve">из физического INI-файла БД. Для</w:t>
      </w:r>
      <w:r>
        <w:t xml:space="preserve"> </w:t>
      </w:r>
      <w:r>
        <w:rPr>
          <w:rStyle w:val="VerbatimChar"/>
        </w:rPr>
        <w:t xml:space="preserve">TYPE=Local</w:t>
      </w:r>
      <w:r>
        <w:t xml:space="preserve"> </w:t>
      </w:r>
      <w:r>
        <w:t xml:space="preserve">секция удаляется из INI БД, а поле</w:t>
      </w:r>
      <w:r>
        <w:t xml:space="preserve"> </w:t>
      </w:r>
      <w:r>
        <w:rPr>
          <w:rStyle w:val="VerbatimChar"/>
        </w:rPr>
        <w:t xml:space="preserve">221</w:t>
      </w:r>
      <w:r>
        <w:t xml:space="preserve"> </w:t>
      </w:r>
      <w:r>
        <w:t xml:space="preserve">остается пустым. Для других типов система переносит</w:t>
      </w:r>
      <w:r>
        <w:t xml:space="preserve"> </w:t>
      </w:r>
      <w:r>
        <w:rPr>
          <w:rStyle w:val="VerbatimChar"/>
        </w:rPr>
        <w:t xml:space="preserve">PROVIDER.DB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221^B</w:t>
      </w:r>
      <w:r>
        <w:t xml:space="preserve">, ищет уже существующую запись конфигурации с таким же набором параметров соединения без</w:t>
      </w:r>
      <w:r>
        <w:t xml:space="preserve"> </w:t>
      </w:r>
      <w:r>
        <w:rPr>
          <w:rStyle w:val="VerbatimChar"/>
        </w:rPr>
        <w:t xml:space="preserve">DB</w:t>
      </w:r>
      <w:r>
        <w:t xml:space="preserve">; если такой записи нет, создает новую. После этого SID найденной или созданной записи записывается в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221^A</w:t>
      </w:r>
      <w:r>
        <w:t xml:space="preserve">, а секция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 </w:t>
      </w:r>
      <w:r>
        <w:t xml:space="preserve">удаляется из INI БД. Если нет ни SID в поле</w:t>
      </w:r>
      <w:r>
        <w:t xml:space="preserve"> </w:t>
      </w:r>
      <w:r>
        <w:rPr>
          <w:rStyle w:val="VerbatimChar"/>
        </w:rPr>
        <w:t xml:space="preserve">221^A</w:t>
      </w:r>
      <w:r>
        <w:t xml:space="preserve">, ни секции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, используется локальный провайдер.</w:t>
      </w:r>
    </w:p>
    <w:bookmarkStart w:id="9" w:name="типы-провайдеров"/>
    <w:p>
      <w:pPr>
        <w:pStyle w:val="Heading2"/>
      </w:pPr>
      <w:r>
        <w:t xml:space="preserve">1. Типы провайдеров</w:t>
      </w:r>
    </w:p>
    <w:p>
      <w:pPr>
        <w:pStyle w:val="FirstParagraph"/>
      </w:pPr>
      <w:r>
        <w:t xml:space="preserve">Редактор записей конфигурации провайдера поддерживает следующие типы: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Irbis64r</w:t>
            </w:r>
          </w:p>
        </w:tc>
        <w:tc>
          <w:tcPr/>
          <w:p>
            <w:pPr>
              <w:pStyle w:val="Compact"/>
            </w:pPr>
            <w:r>
              <w:t xml:space="preserve">Подключение к TCP-серверу ИРБИС 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jirb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jirb2</w:t>
            </w:r>
          </w:p>
        </w:tc>
        <w:tc>
          <w:tcPr/>
          <w:p>
            <w:pPr>
              <w:pStyle w:val="Compact"/>
            </w:pPr>
            <w:r>
              <w:t xml:space="preserve">Подключение к J-ИРБИС.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MarcWeb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MarcWeb2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VTLS</w:t>
            </w:r>
          </w:p>
        </w:tc>
        <w:tc>
          <w:tcPr/>
          <w:p>
            <w:pPr>
              <w:pStyle w:val="Compact"/>
            </w:pPr>
            <w:r>
              <w:t xml:space="preserve">Подключение к внешним Web-каталогам соответствующих типов.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webirb</w:t>
            </w:r>
          </w:p>
        </w:tc>
        <w:tc>
          <w:tcPr/>
          <w:p>
            <w:pPr>
              <w:pStyle w:val="Compact"/>
            </w:pPr>
            <w:r>
              <w:t xml:space="preserve">Подключение к Web-ИРБИС 32/64/64+.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</w:t>
            </w:r>
          </w:p>
        </w:tc>
        <w:tc>
          <w:tcPr/>
          <w:p>
            <w:pPr>
              <w:pStyle w:val="Compact"/>
            </w:pPr>
            <w:r>
              <w:t xml:space="preserve">Подключение к ИРБИС 64/128.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raidb0</w:t>
            </w:r>
          </w:p>
        </w:tc>
        <w:tc>
          <w:tcPr/>
          <w:p>
            <w:pPr>
              <w:pStyle w:val="Compact"/>
            </w:pPr>
            <w:r>
              <w:t xml:space="preserve">Логическое объединение нескольких БД в одну.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Local</w:t>
            </w:r>
          </w:p>
        </w:tc>
        <w:tc>
          <w:tcPr/>
          <w:p>
            <w:pPr>
              <w:pStyle w:val="Compact"/>
            </w:pPr>
            <w:r>
              <w:t xml:space="preserve">Локальная БД на основном сервере ИРБИС 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EKBSON</w:t>
            </w:r>
          </w:p>
        </w:tc>
        <w:tc>
          <w:tcPr/>
          <w:p>
            <w:pPr>
              <w:pStyle w:val="Compact"/>
            </w:pPr>
            <w:r>
              <w:t xml:space="preserve">Сводная БД ИС ЭКБСОН.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z3950</w:t>
            </w:r>
          </w:p>
        </w:tc>
        <w:tc>
          <w:tcPr/>
          <w:p>
            <w:pPr>
              <w:pStyle w:val="Compact"/>
            </w:pPr>
            <w:r>
              <w:t xml:space="preserve">Подключение к серверу Z39.50.</w:t>
            </w:r>
          </w:p>
        </w:tc>
      </w:tr>
    </w:tbl>
    <w:p>
      <w:pPr>
        <w:pStyle w:val="BodyText"/>
      </w:pPr>
      <w:r>
        <w:t xml:space="preserve">При открытии БД система вычисляет</w:t>
      </w:r>
      <w:r>
        <w:t xml:space="preserve"> </w:t>
      </w:r>
      <w:r>
        <w:rPr>
          <w:rStyle w:val="VerbatimChar"/>
        </w:rPr>
        <w:t xml:space="preserve">PROVIDER.TYPE</w:t>
      </w:r>
      <w:r>
        <w:t xml:space="preserve"> </w:t>
      </w:r>
      <w:r>
        <w:t xml:space="preserve">из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связанной записи конфигурации или читает его из мигрируемой секции INI БД и выбирает соответствующий модуль провайдера. Например, для типа</w:t>
      </w:r>
      <w:r>
        <w:t xml:space="preserve"> </w:t>
      </w:r>
      <w:r>
        <w:rPr>
          <w:rStyle w:val="VerbatimChar"/>
        </w:rPr>
        <w:t xml:space="preserve">webirb</w:t>
      </w:r>
      <w:r>
        <w:t xml:space="preserve"> </w:t>
      </w:r>
      <w:r>
        <w:t xml:space="preserve">используется модуль</w:t>
      </w:r>
      <w:r>
        <w:t xml:space="preserve"> </w:t>
      </w:r>
      <w:r>
        <w:rPr>
          <w:rStyle w:val="VerbatimChar"/>
        </w:rPr>
        <w:t xml:space="preserve">DP_webirb</w:t>
      </w:r>
      <w:r>
        <w:t xml:space="preserve">, для</w:t>
      </w:r>
      <w:r>
        <w:t xml:space="preserve"> </w:t>
      </w:r>
      <w:r>
        <w:rPr>
          <w:rStyle w:val="VerbatimChar"/>
        </w:rPr>
        <w:t xml:space="preserve">raidb0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DP_raidb0</w:t>
      </w:r>
      <w:r>
        <w:t xml:space="preserve">. Тип провайдера индексируется у записи БД терминами</w:t>
      </w:r>
      <w:r>
        <w:t xml:space="preserve"> </w:t>
      </w:r>
      <w:r>
        <w:rPr>
          <w:rStyle w:val="VerbatimChar"/>
        </w:rPr>
        <w:t xml:space="preserve">DBPROVIDER=&lt;тип&gt;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DBPROVIDER.TYPE=&lt;тип&gt;</w:t>
      </w:r>
      <w:r>
        <w:t xml:space="preserve">, а сами записи конфигурации индексируются терминами</w:t>
      </w:r>
      <w:r>
        <w:t xml:space="preserve"> </w:t>
      </w:r>
      <w:r>
        <w:rPr>
          <w:rStyle w:val="VerbatimChar"/>
        </w:rPr>
        <w:t xml:space="preserve">DBPROVIDERCFG.*</w:t>
      </w:r>
      <w:r>
        <w:t xml:space="preserve">.</w:t>
      </w:r>
    </w:p>
    <w:bookmarkEnd w:id="9"/>
    <w:bookmarkStart w:id="10" w:name="общие-параметры"/>
    <w:p>
      <w:pPr>
        <w:pStyle w:val="Heading2"/>
      </w:pPr>
      <w:r>
        <w:t xml:space="preserve">2. Общие параметры</w:t>
      </w:r>
    </w:p>
    <w:p>
      <w:pPr>
        <w:pStyle w:val="FirstParagraph"/>
      </w:pPr>
      <w:r>
        <w:t xml:space="preserve">Набор полей в окне настройки зависит от типа записи провайдера в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. Параметр</w:t>
      </w:r>
      <w:r>
        <w:t xml:space="preserve"> </w:t>
      </w:r>
      <w:r>
        <w:rPr>
          <w:rStyle w:val="VerbatimChar"/>
        </w:rPr>
        <w:t xml:space="preserve">TYPE</w:t>
      </w:r>
      <w:r>
        <w:t xml:space="preserve"> </w:t>
      </w:r>
      <w:r>
        <w:t xml:space="preserve">в записи конфигурации не редактируется и не хранится как отдельное поле: при формировании runtime-секции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 </w:t>
      </w:r>
      <w:r>
        <w:t xml:space="preserve">он вычисляется из</w:t>
      </w:r>
      <w:r>
        <w:t xml:space="preserve"> </w:t>
      </w:r>
      <w:r>
        <w:rPr>
          <w:rStyle w:val="VerbatimChar"/>
        </w:rPr>
        <w:t xml:space="preserve">920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Использование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HOST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PORT</w:t>
            </w:r>
          </w:p>
        </w:tc>
        <w:tc>
          <w:tcPr/>
          <w:p>
            <w:pPr>
              <w:pStyle w:val="Compact"/>
            </w:pPr>
            <w:r>
              <w:t xml:space="preserve">Адрес и порт подключаемого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TIMEOUT</w:t>
            </w:r>
          </w:p>
        </w:tc>
        <w:tc>
          <w:tcPr/>
          <w:p>
            <w:pPr>
              <w:pStyle w:val="Compact"/>
            </w:pPr>
            <w:r>
              <w:t xml:space="preserve">Таймаут соединения.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LOGIN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PW</w:t>
            </w:r>
          </w:p>
        </w:tc>
        <w:tc>
          <w:tcPr/>
          <w:p>
            <w:pPr>
              <w:pStyle w:val="Compact"/>
            </w:pPr>
            <w:r>
              <w:t xml:space="preserve">Учетные данные для провайдеров, которые поддерживают авторизацию.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</w:t>
            </w:r>
          </w:p>
        </w:tc>
        <w:tc>
          <w:tcPr/>
          <w:p>
            <w:pPr>
              <w:pStyle w:val="Compact"/>
            </w:pPr>
            <w:r>
              <w:t xml:space="preserve">Имя БД на подключаемом сервере. Хранится в записи</w:t>
            </w:r>
            <w:r>
              <w:t xml:space="preserve"> </w:t>
            </w:r>
            <w:r>
              <w:rPr>
                <w:rStyle w:val="VerbatimChar"/>
              </w:rPr>
              <w:t xml:space="preserve">DATABASE</w:t>
            </w:r>
            <w:r>
              <w:t xml:space="preserve"> </w:t>
            </w:r>
            <w:r>
              <w:t xml:space="preserve">в поле</w:t>
            </w:r>
            <w:r>
              <w:t xml:space="preserve"> </w:t>
            </w:r>
            <w:r>
              <w:rPr>
                <w:rStyle w:val="VerbatimChar"/>
              </w:rPr>
              <w:t xml:space="preserve">221^B</w:t>
            </w:r>
            <w:r>
              <w:t xml:space="preserve"> </w:t>
            </w:r>
            <w:r>
              <w:t xml:space="preserve">и при открытии БД передается провайдеру как</w:t>
            </w:r>
            <w:r>
              <w:t xml:space="preserve"> </w:t>
            </w:r>
            <w:r>
              <w:rPr>
                <w:rStyle w:val="VerbatimChar"/>
              </w:rPr>
              <w:t xml:space="preserve">PROVIDER.DB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REMOTECP</w:t>
            </w:r>
          </w:p>
        </w:tc>
        <w:tc>
          <w:tcPr/>
          <w:p>
            <w:pPr>
              <w:pStyle w:val="Compact"/>
            </w:pPr>
            <w:r>
              <w:t xml:space="preserve">Кодировка данных удаленной системы.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PROXY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PROXYUSER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PROXYPASSWORD</w:t>
            </w:r>
          </w:p>
        </w:tc>
        <w:tc>
          <w:tcPr/>
          <w:p>
            <w:pPr>
              <w:pStyle w:val="Compact"/>
            </w:pPr>
            <w:r>
              <w:t xml:space="preserve">Параметры прокси-сервера для провайдеров, где доступ выполняется через HTTP.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FMT</w:t>
            </w:r>
          </w:p>
        </w:tc>
        <w:tc>
          <w:tcPr/>
          <w:p>
            <w:pPr>
              <w:pStyle w:val="Compact"/>
            </w:pPr>
            <w:r>
              <w:t xml:space="preserve">Формат для разбора записей или ответа внешней системы.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FSTINNAME</w:t>
            </w:r>
          </w:p>
        </w:tc>
        <w:tc>
          <w:tcPr/>
          <w:p>
            <w:pPr>
              <w:pStyle w:val="Compact"/>
            </w:pPr>
            <w:r>
              <w:t xml:space="preserve">Формат входных записей для провайдеров, которым нужна конвертация.</w:t>
            </w:r>
          </w:p>
        </w:tc>
      </w:tr>
    </w:tbl>
    <w:bookmarkEnd w:id="10"/>
    <w:bookmarkStart w:id="11" w:name="провайдер-raidb0"/>
    <w:p>
      <w:pPr>
        <w:pStyle w:val="Heading2"/>
      </w:pPr>
      <w:r>
        <w:t xml:space="preserve">3. Провайдер</w:t>
      </w:r>
      <w:r>
        <w:t xml:space="preserve"> </w:t>
      </w:r>
      <w:r>
        <w:rPr>
          <w:rStyle w:val="VerbatimChar"/>
        </w:rPr>
        <w:t xml:space="preserve">raidb0</w:t>
      </w:r>
    </w:p>
    <w:p>
      <w:pPr>
        <w:pStyle w:val="FirstParagraph"/>
      </w:pPr>
      <w:r>
        <w:t xml:space="preserve">Провайдер</w:t>
      </w:r>
      <w:r>
        <w:t xml:space="preserve"> </w:t>
      </w:r>
      <w:r>
        <w:rPr>
          <w:rStyle w:val="VerbatimChar"/>
        </w:rPr>
        <w:t xml:space="preserve">raidb0</w:t>
      </w:r>
      <w:r>
        <w:t xml:space="preserve"> </w:t>
      </w:r>
      <w:r>
        <w:t xml:space="preserve">используется, когда одну логическую БД нужно собрать из нескольких физических БД. В настройках указываются подключенные БД и вес записи в каждую из них.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SUBDBS_COUNT</w:t>
            </w:r>
          </w:p>
        </w:tc>
        <w:tc>
          <w:tcPr/>
          <w:p>
            <w:pPr>
              <w:pStyle w:val="Compact"/>
            </w:pPr>
            <w:r>
              <w:t xml:space="preserve">Количество подключенных БД. Заполняется автоматически при сохранении настроек.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SUBDBSCFG_&lt;N&gt;_NAME</w:t>
            </w:r>
          </w:p>
        </w:tc>
        <w:tc>
          <w:tcPr/>
          <w:p>
            <w:pPr>
              <w:pStyle w:val="Compact"/>
            </w:pPr>
            <w:r>
              <w:t xml:space="preserve">Имя подключенной БД с номером</w:t>
            </w:r>
            <w:r>
              <w:t xml:space="preserve"> </w:t>
            </w:r>
            <w:r>
              <w:rPr>
                <w:rStyle w:val="VerbatimChar"/>
              </w:rPr>
              <w:t xml:space="preserve">&lt;N&gt;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SUBDBSCFG_&lt;N&gt;_READWEIGHT</w:t>
            </w:r>
          </w:p>
        </w:tc>
        <w:tc>
          <w:tcPr/>
          <w:p>
            <w:pPr>
              <w:pStyle w:val="Compact"/>
            </w:pPr>
            <w:r>
              <w:t xml:space="preserve">Вес чтения из указанной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SUBDBSCFG_&lt;N&gt;_WRITEWEIGHT</w:t>
            </w:r>
          </w:p>
        </w:tc>
        <w:tc>
          <w:tcPr/>
          <w:p>
            <w:pPr>
              <w:pStyle w:val="Compact"/>
            </w:pPr>
            <w:r>
              <w:t xml:space="preserve">Вес записи в указанную БД. Используется для распределения записей между подключенными БД.</w:t>
            </w:r>
          </w:p>
        </w:tc>
      </w:tr>
    </w:tbl>
    <w:bookmarkEnd w:id="11"/>
    <w:bookmarkStart w:id="13" w:name="провайдер-z39.50"/>
    <w:p>
      <w:pPr>
        <w:pStyle w:val="Heading2"/>
      </w:pPr>
      <w:r>
        <w:t xml:space="preserve">4. Провайдер Z39.50</w:t>
      </w:r>
    </w:p>
    <w:p>
      <w:pPr>
        <w:pStyle w:val="FirstParagraph"/>
      </w:pPr>
      <w:r>
        <w:t xml:space="preserve">Для работы провайдера Z39.50 требуется PHP-модуль</w:t>
      </w:r>
      <w:r>
        <w:t xml:space="preserve"> </w:t>
      </w:r>
      <w:r>
        <w:rPr>
          <w:rStyle w:val="VerbatimChar"/>
        </w:rPr>
        <w:t xml:space="preserve">yaz</w:t>
      </w:r>
      <w:r>
        <w:t xml:space="preserve">. Это требование также зафиксировано в разделе</w:t>
      </w:r>
      <w:r>
        <w:t xml:space="preserve"> </w:t>
      </w:r>
      <w:hyperlink r:id="rId12">
        <w:r>
          <w:rPr>
            <w:rStyle w:val="Hyperlink"/>
          </w:rPr>
          <w:t xml:space="preserve">системных требований</w:t>
        </w:r>
      </w:hyperlink>
      <w:r>
        <w:t xml:space="preserve">.</w:t>
      </w:r>
    </w:p>
    <w:p>
      <w:pPr>
        <w:pStyle w:val="BodyText"/>
      </w:pPr>
      <w:r>
        <w:t xml:space="preserve">Основные параметры Z39.50:</w:t>
      </w:r>
      <w:r>
        <w:t xml:space="preserve"> </w:t>
      </w:r>
      <w:r>
        <w:rPr>
          <w:rStyle w:val="VerbatimChar"/>
        </w:rPr>
        <w:t xml:space="preserve">HOST</w:t>
      </w:r>
      <w:r>
        <w:t xml:space="preserve">,</w:t>
      </w:r>
      <w:r>
        <w:t xml:space="preserve"> </w:t>
      </w:r>
      <w:r>
        <w:rPr>
          <w:rStyle w:val="VerbatimChar"/>
        </w:rPr>
        <w:t xml:space="preserve">PORT</w:t>
      </w:r>
      <w:r>
        <w:t xml:space="preserve">,</w:t>
      </w:r>
      <w:r>
        <w:t xml:space="preserve"> </w:t>
      </w:r>
      <w:r>
        <w:rPr>
          <w:rStyle w:val="VerbatimChar"/>
        </w:rPr>
        <w:t xml:space="preserve">LOGIN</w:t>
      </w:r>
      <w:r>
        <w:t xml:space="preserve">,</w:t>
      </w:r>
      <w:r>
        <w:t xml:space="preserve"> </w:t>
      </w:r>
      <w:r>
        <w:rPr>
          <w:rStyle w:val="VerbatimChar"/>
        </w:rPr>
        <w:t xml:space="preserve">PW</w:t>
      </w:r>
      <w:r>
        <w:t xml:space="preserve">,</w:t>
      </w:r>
      <w:r>
        <w:t xml:space="preserve"> </w:t>
      </w:r>
      <w:r>
        <w:rPr>
          <w:rStyle w:val="VerbatimChar"/>
        </w:rPr>
        <w:t xml:space="preserve">DB</w:t>
      </w:r>
      <w:r>
        <w:t xml:space="preserve">,</w:t>
      </w:r>
      <w:r>
        <w:t xml:space="preserve"> </w:t>
      </w:r>
      <w:r>
        <w:rPr>
          <w:rStyle w:val="VerbatimChar"/>
        </w:rPr>
        <w:t xml:space="preserve">TIMEOUT</w:t>
      </w:r>
      <w:r>
        <w:t xml:space="preserve">,</w:t>
      </w:r>
      <w:r>
        <w:t xml:space="preserve"> </w:t>
      </w:r>
      <w:r>
        <w:rPr>
          <w:rStyle w:val="VerbatimChar"/>
        </w:rPr>
        <w:t xml:space="preserve">REMOTECP</w:t>
      </w:r>
      <w:r>
        <w:t xml:space="preserve">,</w:t>
      </w:r>
      <w:r>
        <w:t xml:space="preserve"> </w:t>
      </w:r>
      <w:r>
        <w:rPr>
          <w:rStyle w:val="VerbatimChar"/>
        </w:rPr>
        <w:t xml:space="preserve">FMT</w:t>
      </w:r>
      <w:r>
        <w:t xml:space="preserve">,</w:t>
      </w:r>
      <w:r>
        <w:t xml:space="preserve"> </w:t>
      </w:r>
      <w:r>
        <w:rPr>
          <w:rStyle w:val="VerbatimChar"/>
        </w:rPr>
        <w:t xml:space="preserve">FSTINNAME</w:t>
      </w:r>
      <w:r>
        <w:t xml:space="preserve">.</w:t>
      </w:r>
    </w:p>
    <w:bookmarkEnd w:id="13"/>
    <w:bookmarkStart w:id="16" w:name="связь-с-основным-провайдером-системы"/>
    <w:p>
      <w:pPr>
        <w:pStyle w:val="Heading2"/>
      </w:pPr>
      <w:r>
        <w:t xml:space="preserve">5. Связь с основным провайдером системы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$OPTIONS['localProvider']</w:t>
      </w:r>
      <w:r>
        <w:t xml:space="preserve"> </w:t>
      </w:r>
      <w:r>
        <w:t xml:space="preserve">задает основной провайдер данных системы. Для локального файлового доступа может использоваться нативный провайдер</w:t>
      </w:r>
      <w:r>
        <w:t xml:space="preserve"> </w:t>
      </w:r>
      <w:hyperlink r:id="rId14">
        <w:r>
          <w:rPr>
            <w:rStyle w:val="Hyperlink"/>
          </w:rPr>
          <w:t xml:space="preserve">DP_Irbis64Native</w:t>
        </w:r>
      </w:hyperlink>
      <w:r>
        <w:t xml:space="preserve">. Его текущее значение и доступные системные параметры описаны в разделе</w:t>
      </w:r>
      <w:r>
        <w:t xml:space="preserve"> </w:t>
      </w:r>
      <w:hyperlink r:id="rId15">
        <w:r>
          <w:rPr>
            <w:rStyle w:val="Hyperlink"/>
          </w:rPr>
          <w:t xml:space="preserve">параметров ядра</w:t>
        </w:r>
      </w:hyperlink>
      <w:r>
        <w:t xml:space="preserve">.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4" Target="?id=Help/Show&amp;m=DP_Irbis64Native/Root" TargetMode="External" /><Relationship Type="http://schemas.openxmlformats.org/officeDocument/2006/relationships/hyperlink" Id="rId15" Target="?id=Help/Show&amp;m=Help/Server128/SystemCore/OPTIONS" TargetMode="External" /><Relationship Type="http://schemas.openxmlformats.org/officeDocument/2006/relationships/hyperlink" Id="rId12" Target="?id=Help/Show&amp;m=Help/SystemRequirements/ApplicationServe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4" Target="?id=Help/Show&amp;m=DP_Irbis64Native/Root" TargetMode="External" /><Relationship Type="http://schemas.openxmlformats.org/officeDocument/2006/relationships/hyperlink" Id="rId15" Target="?id=Help/Show&amp;m=Help/Server128/SystemCore/OPTIONS" TargetMode="External" /><Relationship Type="http://schemas.openxmlformats.org/officeDocument/2006/relationships/hyperlink" Id="rId12" Target="?id=Help/Show&amp;m=Help/SystemRequirements/ApplicationServe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Базы данных и провайдеры данных</dc:title>
  <dc:creator/>
  <cp:keywords/>
  <dcterms:created xsi:type="dcterms:W3CDTF">2026-11-03T11:03:57Z</dcterms:created>
  <dcterms:modified xsi:type="dcterms:W3CDTF">2026-11-03T11:03:57Z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