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elegrambot"/>
    <w:p>
      <w:pPr>
        <w:pStyle w:val="Heading1"/>
      </w:pPr>
      <w:r>
        <w:t xml:space="preserve">TelegramBot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хранит настройки Telegram-бота и пользовательских команд, которые связывают команды бота с функциями модулей ИРБИС128.</w:t>
      </w:r>
    </w:p>
    <w:bookmarkStart w:id="9" w:name="назначение-telegrambot"/>
    <w:p>
      <w:pPr>
        <w:pStyle w:val="Heading2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TelegramBot</dc:title>
  <dc:creator/>
  <cp:keywords/>
  <dcterms:created xsi:type="dcterms:W3CDTF">2026-10-26T00:09:29Z</dcterms:created>
  <dcterms:modified xsi:type="dcterms:W3CDTF">2026-10-26T00:09:29Z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