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elegrambot"/>
    <w:p>
      <w:pPr>
        <w:pStyle w:val="Heading1"/>
      </w:pPr>
      <w:r>
        <w:t xml:space="preserve">TelegramBot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хранит настройки Telegram-бота и пользовательских команд, которые связывают команды бота с функциями модулей ИРБИС128.</w:t>
      </w:r>
    </w:p>
    <w:bookmarkStart w:id="9" w:name="назначение-telegrambot"/>
    <w:p>
      <w:pPr>
        <w:pStyle w:val="Heading2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TelegramBot</dc:title>
  <dc:creator/>
  <cp:keywords/>
  <dcterms:created xsi:type="dcterms:W3CDTF">2026-10-28T10:31:27Z</dcterms:created>
  <dcterms:modified xsi:type="dcterms:W3CDTF">2026-10-28T10:31:27Z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