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описывает объектный тип записей для аналитического описания юридических, директивных и нормативно-технических документов.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 отображения записи, интерфейсных списков и показа обложки.</w:t>
            </w:r>
          </w:p>
        </w:tc>
      </w:tr>
    </w:tbl>
    <w:p>
      <w:pPr>
        <w:pStyle w:val="BodyText"/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применяется для статей из юридических, директивных и нормативно-технических документов. Методические правила заполнения такого рабочего листа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Специфика заполнения отдельных полей</w:t>
        </w:r>
      </w:hyperlink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документа с использованием полей автора, заглавия, выходных данных, содержания и связи с источником.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Компактное отображение через общий интерфейсный формат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showcover</w:t>
            </w:r>
          </w:p>
        </w:tc>
        <w:tc>
          <w:tcPr/>
          <w:p>
            <w:pPr>
              <w:pStyle w:val="Compact"/>
            </w:pPr>
            <w:r>
              <w:t xml:space="preserve">Получение ссылки на изображение обложки или связанного внешнего объекта из полей</w:t>
            </w:r>
            <w:r>
              <w:t xml:space="preserve"> </w:t>
            </w:r>
            <w:r>
              <w:rPr>
                <w:rStyle w:val="VerbatimChar"/>
              </w:rPr>
              <w:t xml:space="preserve">953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Пользовательский ввод и проверка записей выполняются через общие механизмы каталогизации, полевой редактор и рабочие листы базы данных.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BibliographicRecords/SpecificFiel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BibliographicRecords/SpecificFiel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2026-10-30T14:13:13Z</dcterms:created>
  <dcterms:modified xsi:type="dcterms:W3CDTF">2026-10-30T14:13:13Z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