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filterscheme"/>
    <w:p>
      <w:pPr>
        <w:pStyle w:val="Heading1"/>
      </w:pPr>
      <w:r>
        <w:t xml:space="preserve">Назначение WorkflowFilterScheme</w:t>
      </w:r>
    </w:p>
    <w:p>
      <w:pPr>
        <w:pStyle w:val="FirstParagraph"/>
      </w:pPr>
      <w:r>
        <w:rPr>
          <w:rStyle w:val="VerbatimChar"/>
        </w:rPr>
        <w:t xml:space="preserve">WorkflowFilterScheme</w:t>
      </w:r>
      <w:r>
        <w:t xml:space="preserve"> </w:t>
      </w:r>
      <w:r>
        <w:t xml:space="preserve">связывает ключ страницы и тип записи с конкретным фильтром. Схема позволяет универсальной странице списка работать без прикладного кода фильтрации.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WorkflowFilterScheme</dc:title>
  <dc:creator/>
  <cp:keywords/>
  <dcterms:created xsi:type="dcterms:W3CDTF">2026-11-03T09:35:14Z</dcterms:created>
  <dcterms:modified xsi:type="dcterms:W3CDTF">2026-11-03T09:35:14Z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