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Провайдер данных к серверу приложений ИРБИС 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dce74bf4df75d6132afbc111973fb6656b6353e"/>
    <w:p>
      <w:pPr>
        <w:pStyle w:val="Heading1"/>
      </w:pPr>
      <w:r>
        <w:t xml:space="preserve">Провайдер данных к серверу приложений ИРБИС 128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DP_i128</w:t>
      </w:r>
      <w:r>
        <w:t xml:space="preserve"> </w:t>
      </w:r>
      <w:r>
        <w:t xml:space="preserve">реализует провайдер данных для подключения к другому серверу</w:t>
      </w:r>
      <w:r>
        <w:t xml:space="preserve"> </w:t>
      </w:r>
      <w:r>
        <w:t xml:space="preserve">приложений ИРБИС 128. Он используется подсистемой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когда база должна</w:t>
      </w:r>
      <w:r>
        <w:t xml:space="preserve"> </w:t>
      </w:r>
      <w:r>
        <w:t xml:space="preserve">получать записи, словари, файлы и результаты форматирования через удаленный</w:t>
      </w:r>
      <w:r>
        <w:t xml:space="preserve"> </w:t>
      </w:r>
      <w:r>
        <w:t xml:space="preserve">HTTP-интерфейс ИРБИС 128.</w:t>
      </w:r>
    </w:p>
    <w:bookmarkStart w:id="12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DP_i128</w:t>
      </w:r>
      <w:r>
        <w:t xml:space="preserve"> </w:t>
      </w:r>
      <w:r>
        <w:t xml:space="preserve">- объектный модуль-провайдер данных. Он приводит стандартные операции</w:t>
      </w:r>
      <w:r>
        <w:t xml:space="preserve"> </w:t>
      </w:r>
      <w:r>
        <w:t xml:space="preserve">слоя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к HTTP-запросам удаленного сервера приложений ИРБИС 128 и</w:t>
      </w:r>
      <w:r>
        <w:t xml:space="preserve"> </w:t>
      </w:r>
      <w:r>
        <w:t xml:space="preserve">возвращает результат в формате, ожидаемом локальной системой.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Сценарий</w:t>
            </w:r>
          </w:p>
        </w:tc>
        <w:tc>
          <w:tcPr/>
          <w:p>
            <w:pPr>
              <w:pStyle w:val="Compact"/>
            </w:pPr>
            <w:r>
              <w:t xml:space="preserve">Компоненты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Инициализация провайдера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InitProvider</w:t>
            </w:r>
            <w:r>
              <w:t xml:space="preserve">, параметры секции</w:t>
            </w:r>
            <w:r>
              <w:t xml:space="preserve"> </w:t>
            </w:r>
            <w:r>
              <w:rPr>
                <w:rStyle w:val="VerbatimChar"/>
              </w:rPr>
              <w:t xml:space="preserve">PROVIDER</w:t>
            </w:r>
            <w:r>
              <w:t xml:space="preserve"> </w:t>
            </w:r>
            <w:r>
              <w:t xml:space="preserve">из INI базы.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Подключение и отключение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Connect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Disconnect</w:t>
            </w:r>
            <w:r>
              <w:t xml:space="preserve">, состояние</w:t>
            </w:r>
            <w:r>
              <w:t xml:space="preserve"> </w:t>
            </w:r>
            <w:r>
              <w:rPr>
                <w:rStyle w:val="VerbatimChar"/>
              </w:rPr>
              <w:t xml:space="preserve">IsConnected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Выполнение удаленного запроса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ExecRqst</w:t>
            </w:r>
            <w:r>
              <w:t xml:space="preserve">, HTTP POST к удаленному серверу.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Проверка версии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GetVersion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Поиск и чтение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RecSearch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RecRead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RecReadAndFormat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Словарь терминов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GetTermList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Форматирование виртуальной записи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RecVirtualFormat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Запись и удаление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RecWrite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DeleteRec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RecIfUpdate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Работа с файлами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SetFile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WriteToIni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Делегирование владельцу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CallOwnerFunction</w:t>
            </w:r>
            <w:r>
              <w:t xml:space="preserve"> </w:t>
            </w:r>
            <w:r>
              <w:t xml:space="preserve">для операций, которые выполняет родительский объект базы.</w:t>
            </w:r>
          </w:p>
        </w:tc>
      </w:tr>
    </w:tbl>
    <w:bookmarkEnd w:id="9"/>
    <w:bookmarkStart w:id="10" w:name="параметры-провайдера"/>
    <w:p>
      <w:pPr>
        <w:pStyle w:val="Heading3"/>
      </w:pPr>
      <w:r>
        <w:t xml:space="preserve">2. Параметры провайдера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PROVIDER.HOST</w:t>
            </w:r>
          </w:p>
        </w:tc>
        <w:tc>
          <w:tcPr/>
          <w:p>
            <w:pPr>
              <w:pStyle w:val="Compact"/>
            </w:pPr>
            <w:r>
              <w:t xml:space="preserve">Адрес удаленного сервера приложений; по умолчанию берется из</w:t>
            </w:r>
            <w:r>
              <w:t xml:space="preserve"> </w:t>
            </w:r>
            <w:r>
              <w:rPr>
                <w:rStyle w:val="VerbatimChar"/>
              </w:rPr>
              <w:t xml:space="preserve">i128SelfHost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PROVIDER.PORT</w:t>
            </w:r>
          </w:p>
        </w:tc>
        <w:tc>
          <w:tcPr/>
          <w:p>
            <w:pPr>
              <w:pStyle w:val="Compact"/>
            </w:pPr>
            <w:r>
              <w:t xml:space="preserve">Порт удаленного сервера; по умолчанию берется из</w:t>
            </w:r>
            <w:r>
              <w:t xml:space="preserve"> </w:t>
            </w:r>
            <w:r>
              <w:rPr>
                <w:rStyle w:val="VerbatimChar"/>
              </w:rPr>
              <w:t xml:space="preserve">i128SelfPort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PROVIDER.LOGIN</w:t>
            </w:r>
          </w:p>
        </w:tc>
        <w:tc>
          <w:tcPr/>
          <w:p>
            <w:pPr>
              <w:pStyle w:val="Compact"/>
            </w:pPr>
            <w:r>
              <w:t xml:space="preserve">Логин для удаленного сервера, если требуется.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PROVIDER.PW</w:t>
            </w:r>
          </w:p>
        </w:tc>
        <w:tc>
          <w:tcPr/>
          <w:p>
            <w:pPr>
              <w:pStyle w:val="Compact"/>
            </w:pPr>
            <w:r>
              <w:t xml:space="preserve">Пароль для удаленного сервера, если требуется.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PROVIDER.TIMEOUT</w:t>
            </w:r>
          </w:p>
        </w:tc>
        <w:tc>
          <w:tcPr/>
          <w:p>
            <w:pPr>
              <w:pStyle w:val="Compact"/>
            </w:pPr>
            <w:r>
              <w:t xml:space="preserve">Таймаут HTTP-запросов.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PROVIDER.PROXY</w:t>
            </w:r>
          </w:p>
        </w:tc>
        <w:tc>
          <w:tcPr/>
          <w:p>
            <w:pPr>
              <w:pStyle w:val="Compact"/>
            </w:pPr>
            <w:r>
              <w:t xml:space="preserve">Прокси-сервер для исходящих HTTP-запросов.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PROVIDER.PROXYUSER</w:t>
            </w:r>
          </w:p>
        </w:tc>
        <w:tc>
          <w:tcPr/>
          <w:p>
            <w:pPr>
              <w:pStyle w:val="Compact"/>
            </w:pPr>
            <w:r>
              <w:t xml:space="preserve">Пользователь прокси.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PROVIDER.PROXYPASSWORD</w:t>
            </w:r>
          </w:p>
        </w:tc>
        <w:tc>
          <w:tcPr/>
          <w:p>
            <w:pPr>
              <w:pStyle w:val="Compact"/>
            </w:pPr>
            <w:r>
              <w:t xml:space="preserve">Пароль прокси.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PROVIDER.SRCPREFIX</w:t>
            </w:r>
          </w:p>
        </w:tc>
        <w:tc>
          <w:tcPr/>
          <w:p>
            <w:pPr>
              <w:pStyle w:val="Compact"/>
            </w:pPr>
            <w:r>
              <w:t xml:space="preserve">Префикс поискового выражения.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PROVIDER.SRCPOSTFIX</w:t>
            </w:r>
          </w:p>
        </w:tc>
        <w:tc>
          <w:tcPr/>
          <w:p>
            <w:pPr>
              <w:pStyle w:val="Compact"/>
            </w:pPr>
            <w:r>
              <w:t xml:space="preserve">Постфикс поискового выражения.</w:t>
            </w:r>
          </w:p>
        </w:tc>
      </w:tr>
    </w:tbl>
    <w:bookmarkEnd w:id="10"/>
    <w:bookmarkStart w:id="11" w:name="особенности-сопровождения"/>
    <w:p>
      <w:pPr>
        <w:pStyle w:val="Heading3"/>
      </w:pPr>
      <w:r>
        <w:t xml:space="preserve">3. Особенности сопровождения</w:t>
      </w:r>
    </w:p>
    <w:p>
      <w:pPr>
        <w:pStyle w:val="FirstParagraph"/>
      </w:pPr>
      <w:r>
        <w:t xml:space="preserve">Модуль зависит от доступности удаленного сервера приложений. Документационные</w:t>
      </w:r>
      <w:r>
        <w:t xml:space="preserve"> </w:t>
      </w:r>
      <w:r>
        <w:t xml:space="preserve">проверки не должны выполнять реальные операции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DeleteRec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GetFile</w:t>
      </w:r>
      <w:r>
        <w:t xml:space="preserve">; для Help-gate достаточно проверки</w:t>
      </w:r>
      <w:r>
        <w:t xml:space="preserve"> </w:t>
      </w:r>
      <w:r>
        <w:t xml:space="preserve">синтаксиса PHP, HTML/DOCX-выгрузки</w:t>
      </w:r>
      <w:r>
        <w:t xml:space="preserve"> </w:t>
      </w:r>
      <w:r>
        <w:rPr>
          <w:rStyle w:val="VerbatimChar"/>
        </w:rPr>
        <w:t xml:space="preserve">Help/ModuleRoot&amp;module=DP_i128</w:t>
      </w:r>
      <w:r>
        <w:t xml:space="preserve"> </w:t>
      </w:r>
      <w:r>
        <w:t xml:space="preserve">и</w:t>
      </w:r>
      <w:r>
        <w:t xml:space="preserve"> </w:t>
      </w:r>
      <w:r>
        <w:t xml:space="preserve">отсутствия пропусков Autodoc.</w:t>
      </w:r>
    </w:p>
    <w:bookmarkEnd w:id="11"/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Провайдер данных к серверу приложений ИРБИС 128</dc:title>
  <dc:creator/>
  <cp:keywords/>
  <dcterms:created xsi:type="dcterms:W3CDTF">2026-11-02T16:55:18Z</dcterms:created>
  <dcterms:modified xsi:type="dcterms:W3CDTF">2026-11-02T16:55:18Z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