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автоматизация"/>
    <w:p>
      <w:pPr>
        <w:pStyle w:val="Heading1"/>
      </w:pPr>
      <w:r>
        <w:t xml:space="preserve">Автоматизация</w:t>
      </w:r>
    </w:p>
    <w:p>
      <w:pPr>
        <w:pStyle w:val="FirstParagraph"/>
      </w:pPr>
      <w:r>
        <w:t xml:space="preserve">Модуль Automation предназначен для общесистемных правил автоматизации: подписка на триггеры, проверка условий, построение безопасного плана действий, dry-run, explainability и контроль циклов.</w:t>
      </w:r>
    </w:p>
    <w:p>
      <w:pPr>
        <w:pStyle w:val="BodyText"/>
      </w:pPr>
      <w:r>
        <w:t xml:space="preserve">Automation не является владельцем доменной логики. Переходы выполняет Workflow, фоновые задания выполняет Queue, доставку событий выполняет EventBus, права проверяет Security, а изменение доменных записей выполняет модуль-владелец записи.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описание правил AUTOMATIONRULE;</w:t>
      </w:r>
    </w:p>
    <w:p>
      <w:pPr>
        <w:pStyle w:val="Compact"/>
        <w:numPr>
          <w:ilvl w:val="0"/>
          <w:numId w:val="1001"/>
        </w:numPr>
      </w:pPr>
      <w:r>
        <w:t xml:space="preserve">системные JSON-определения профилей, триггеров, условий и действий;</w:t>
      </w:r>
    </w:p>
    <w:p>
      <w:pPr>
        <w:pStyle w:val="Compact"/>
        <w:numPr>
          <w:ilvl w:val="0"/>
          <w:numId w:val="1001"/>
        </w:numPr>
      </w:pPr>
      <w:r>
        <w:t xml:space="preserve">whitelist допустимых типов действий;</w:t>
      </w:r>
    </w:p>
    <w:p>
      <w:pPr>
        <w:pStyle w:val="Compact"/>
        <w:numPr>
          <w:ilvl w:val="0"/>
          <w:numId w:val="1001"/>
        </w:numPr>
      </w:pPr>
      <w:r>
        <w:t xml:space="preserve">dry-run без побочных эффектов;</w:t>
      </w:r>
    </w:p>
    <w:p>
      <w:pPr>
        <w:pStyle w:val="Compact"/>
        <w:numPr>
          <w:ilvl w:val="0"/>
          <w:numId w:val="1001"/>
        </w:numPr>
      </w:pPr>
      <w:r>
        <w:t xml:space="preserve">explainable decision для администратора и диагностики;</w:t>
      </w:r>
    </w:p>
    <w:p>
      <w:pPr>
        <w:pStyle w:val="Compact"/>
        <w:numPr>
          <w:ilvl w:val="0"/>
          <w:numId w:val="1001"/>
        </w:numPr>
      </w:pPr>
      <w:r>
        <w:t xml:space="preserve">защита от циклического запуска;</w:t>
      </w:r>
    </w:p>
    <w:p>
      <w:pPr>
        <w:pStyle w:val="Compact"/>
        <w:numPr>
          <w:ilvl w:val="0"/>
          <w:numId w:val="1001"/>
        </w:numPr>
      </w:pPr>
      <w:r>
        <w:t xml:space="preserve">HealthCheck-контракт и TestA-проверки.</w:t>
      </w:r>
    </w:p>
    <w:bookmarkEnd w:id="9"/>
    <w:bookmarkStart w:id="14" w:name="связанные-разделы"/>
    <w:p>
      <w:pPr>
        <w:pStyle w:val="Heading2"/>
      </w:pPr>
      <w:r>
        <w:t xml:space="preserve">2. Связанные разделы</w:t>
      </w:r>
    </w:p>
    <w:p>
      <w:pPr>
        <w:pStyle w:val="Compact"/>
        <w:numPr>
          <w:ilvl w:val="0"/>
          <w:numId w:val="1002"/>
        </w:numPr>
      </w:pPr>
      <w:hyperlink r:id="rId10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Руководство программиста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Эксплуатация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AdminGuide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0" Target="Purpose.md" TargetMode="External" /><Relationship Type="http://schemas.openxmlformats.org/officeDocument/2006/relationships/hyperlink" Id="rId13" Target="Runbook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AdminGuide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0" Target="Purpose.md" TargetMode="External" /><Relationship Type="http://schemas.openxmlformats.org/officeDocument/2006/relationships/hyperlink" Id="rId13" Target="Runbook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Автоматизация</dc:title>
  <dc:creator/>
  <cp:keywords/>
  <dcterms:created xsi:type="dcterms:W3CDTF">2026-10-28T19:55:05Z</dcterms:created>
  <dcterms:modified xsi:type="dcterms:W3CDTF">2026-10-28T19:55:05Z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