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Организационный контекст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рганизационный-контекст-заявителя"/>
    <w:p>
      <w:pPr>
        <w:pStyle w:val="Heading1"/>
      </w:pPr>
      <w:r>
        <w:t xml:space="preserve">Организационный контекст заявителя</w:t>
      </w:r>
    </w:p>
    <w:p>
      <w:pPr>
        <w:pStyle w:val="FirstParagraph"/>
      </w:pPr>
      <w:r>
        <w:rPr>
          <w:rStyle w:val="VerbatimChar"/>
        </w:rPr>
        <w:t xml:space="preserve">Organisations</w:t>
      </w:r>
      <w:r>
        <w:t xml:space="preserve"> </w:t>
      </w:r>
      <w:r>
        <w:t xml:space="preserve">предоставляет организационную часть resolver заявителя. Модуль нормализует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возвращает ее ключ, наименование, статус, контактных лиц и объяснимую причину отказа для удаленных, неактивных или объединенных организаций.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Organisations/ResolveOrganisationContext</w:t>
      </w:r>
      <w:r>
        <w:t xml:space="preserve"> </w:t>
      </w:r>
      <w:r>
        <w:t xml:space="preserve">принимает собственный ID организации или уже загруженную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 </w:t>
      </w:r>
      <w:r>
        <w:t xml:space="preserve">и возвращает безопасный контекст организации.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Organisations/CanApplicantActForOrganisation</w:t>
      </w:r>
      <w:r>
        <w:t xml:space="preserve"> </w:t>
      </w:r>
      <w:r>
        <w:t xml:space="preserve">проверяет организационную связь заявителя:</w:t>
      </w:r>
    </w:p>
    <w:p>
      <w:pPr>
        <w:pStyle w:val="Compact"/>
        <w:numPr>
          <w:ilvl w:val="0"/>
          <w:numId w:val="1001"/>
        </w:numPr>
      </w:pPr>
      <w:r>
        <w:t xml:space="preserve">связь пользователя с организацией;</w:t>
      </w:r>
    </w:p>
    <w:p>
      <w:pPr>
        <w:pStyle w:val="Compact"/>
        <w:numPr>
          <w:ilvl w:val="0"/>
          <w:numId w:val="1001"/>
        </w:numPr>
      </w:pPr>
      <w:r>
        <w:t xml:space="preserve">активное делегирование;</w:t>
      </w:r>
    </w:p>
    <w:p>
      <w:pPr>
        <w:pStyle w:val="Compact"/>
        <w:numPr>
          <w:ilvl w:val="0"/>
          <w:numId w:val="1001"/>
        </w:numPr>
      </w:pPr>
      <w:r>
        <w:t xml:space="preserve">роль представителя организации;</w:t>
      </w:r>
    </w:p>
    <w:p>
      <w:pPr>
        <w:pStyle w:val="Compact"/>
        <w:numPr>
          <w:ilvl w:val="0"/>
          <w:numId w:val="1001"/>
        </w:numPr>
      </w:pPr>
      <w:r>
        <w:t xml:space="preserve">совпадение подтвержденного внешнего контакта с контактами организации.</w:t>
      </w:r>
    </w:p>
    <w:p>
      <w:pPr>
        <w:pStyle w:val="FirstParagraph"/>
      </w:pPr>
      <w:r>
        <w:t xml:space="preserve">Эта проверка не заменяет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отвечает только на вопрос, есть ли у заявителя объяснимая организационная связь. Окончательные права на просмотр, создание, изменение записи и выполнение действия проверяются стандартным механизмом прав.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modules/Organisations/system/applicant_resolver.json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Организационный контекст заявителя</dc:title>
  <dc:creator/>
  <cp:keywords/>
  <dcterms:created xsi:type="dcterms:W3CDTF">2026-10-21T00:09:01Z</dcterms:created>
  <dcterms:modified xsi:type="dcterms:W3CDTF">2026-10-21T00:09:01Z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