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[I128-2804] Доменные сущности, связи и классификация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c79d3b079868f367ecb2d09b3fbd0b3e96d9c01"/>
    <w:p>
      <w:pPr>
        <w:pStyle w:val="Heading1"/>
      </w:pPr>
      <w:r>
        <w:t xml:space="preserve">[I128-2804] Доменные сущности, связи и классификация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Развить предметную модель Tasks так, чтобы задачи можно было использовать для сервисных, проектных, регламентных и пользовательских процессов: типы задач, шаблоны, чек-листы, связи, подзадачи, сервисы, компоненты, влияние, роли участников, компетенции, ограничения, импорт и экспорт.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Базовая запись TASK задает общий контракт хранения задачи, но промышленный модуль задач должен описывать предметные сущности, с которыми работает администратор и пользователь. Эти сущности должны оставаться task</w:t>
      </w:r>
      <w:r>
        <w:rPr>
          <w:strike/>
        </w:rPr>
        <w:t xml:space="preserve">specific конфигурацией Tasks и не подменять общие механизмы ИРБИС 128. Связи между записями выполняются через стандартное поле 113 LINK. Права проверяет Security. Описание полей задается через FieldConfiguration. Поиск дублей выполняет FindDublet. Пользователи, организации, группы, компетенции и оргструктура используются через соответствующие системные модули и resolver</w:t>
      </w:r>
      <w:r>
        <w:t xml:space="preserve">ы.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типы задач и типы обращений проекта: ключ, русское название, описание, активность, доступные экраны создания, допустимые workflow, приоритеты по умолчанию, правила обязательности полей и правила отображения пользователю.</w:t>
      </w:r>
    </w:p>
    <w:p>
      <w:pPr>
        <w:numPr>
          <w:ilvl w:val="0"/>
          <w:numId w:val="1002"/>
        </w:numPr>
      </w:pPr>
      <w:r>
        <w:t xml:space="preserve">Поддержать шаблоны задач: проект, тип задачи, тема, описание, приоритет, начальный исполнитель или группа, стартовый чек</w:t>
      </w:r>
      <w:r>
        <w:rPr>
          <w:strike/>
        </w:rPr>
        <w:t xml:space="preserve">лист, исходные связи, срок, сервис, компонент и дополнительные task</w:t>
      </w:r>
      <w:r>
        <w:t xml:space="preserve">specific значения.</w:t>
      </w:r>
    </w:p>
    <w:p>
      <w:pPr>
        <w:numPr>
          <w:ilvl w:val="0"/>
          <w:numId w:val="1002"/>
        </w:numPr>
      </w:pPr>
      <w:r>
        <w:t xml:space="preserve">Шаблон должен выбирать экран создания через WorkflowScreen или WorkflowScreenScheme, но не должен реализовывать собственный renderer формы.</w:t>
      </w:r>
    </w:p>
    <w:p>
      <w:pPr>
        <w:numPr>
          <w:ilvl w:val="0"/>
          <w:numId w:val="1002"/>
        </w:numPr>
      </w:pPr>
      <w:r>
        <w:t xml:space="preserve">Поддержать простые чек-листы внутри задачи: текст пункта, признак выполнения, исполнитель, дата выполнения и ссылка на дочернюю задачу, если пункт превращен в отдельную задачу.</w:t>
      </w:r>
    </w:p>
    <w:p>
      <w:pPr>
        <w:numPr>
          <w:ilvl w:val="0"/>
          <w:numId w:val="1002"/>
        </w:numPr>
      </w:pPr>
      <w:r>
        <w:t xml:space="preserve">Поддержать преобразование пункта чек-листа в дочернюю задачу через 113 LINK, если пункту нужны отдельные права, сроки, исполнитель, вложения, обсуждение, workflow или самостоятельный аудит.</w:t>
      </w:r>
    </w:p>
    <w:p>
      <w:pPr>
        <w:numPr>
          <w:ilvl w:val="0"/>
          <w:numId w:val="1002"/>
        </w:numPr>
      </w:pPr>
      <w:r>
        <w:t xml:space="preserve">Поддержать typed-связи задачи с другой задачей, записью ЭК, заказом, читателем, пользователем, организацией, произвольной записью ИРБИС 128 и внешним URL.</w:t>
      </w:r>
    </w:p>
    <w:p>
      <w:pPr>
        <w:numPr>
          <w:ilvl w:val="0"/>
          <w:numId w:val="1002"/>
        </w:numPr>
      </w:pPr>
      <w:r>
        <w:t xml:space="preserve">Для 113 LINK использовать единый принцип: тип связи хранится в 113^B, SID связанной записи - в 113^C; обратные пользовательские формулировки строятся по направлению связи и обратному поиску.</w:t>
      </w:r>
    </w:p>
    <w:p>
      <w:pPr>
        <w:numPr>
          <w:ilvl w:val="0"/>
          <w:numId w:val="1002"/>
        </w:numPr>
      </w:pPr>
      <w:r>
        <w:t xml:space="preserve">Базовый набор типов связей должен покрывать: блокирует, зависит от, связана, дублирует, родительская задача, подзадача, источник, заявитель, затронутый объект.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исходящие и входящие связи, состояние связанной задачи, безопасную ссылку на связанную запись и понятное сообщение при отсутствии права просмотра.</w:t>
      </w:r>
    </w:p>
    <w:p>
      <w:pPr>
        <w:numPr>
          <w:ilvl w:val="0"/>
          <w:numId w:val="1002"/>
        </w:numPr>
      </w:pPr>
      <w:r>
        <w:t xml:space="preserve">Проверять циклические блокировки и права пользователя на обе стороны связи при создании или изменении связи.</w:t>
      </w:r>
    </w:p>
    <w:p>
      <w:pPr>
        <w:numPr>
          <w:ilvl w:val="0"/>
          <w:numId w:val="1002"/>
        </w:numPr>
      </w:pPr>
      <w:r>
        <w:t xml:space="preserve">Поддержать правила закрытия родительской задачи и задачи с блокерами через condition</w:t>
      </w:r>
      <w:r>
        <w:rPr>
          <w:strike/>
        </w:rPr>
        <w:t xml:space="preserve">форматы и task</w:t>
      </w:r>
      <w:r>
        <w:t xml:space="preserve">specific настройки проекта.</w:t>
      </w:r>
    </w:p>
    <w:p>
      <w:pPr>
        <w:numPr>
          <w:ilvl w:val="0"/>
          <w:numId w:val="1002"/>
        </w:numPr>
      </w:pPr>
      <w:r>
        <w:t xml:space="preserve">Поддержать связь</w:t>
      </w:r>
      <w:r>
        <w:rPr>
          <w:strike/>
        </w:rPr>
        <w:t xml:space="preserve">дубликат: возможность указать основную задачу, скрыть дубль из рабочих очередей через workflow</w:t>
      </w:r>
      <w:r>
        <w:t xml:space="preserve">переход и сохранить прозрачную историю решения.</w:t>
      </w:r>
    </w:p>
    <w:p>
      <w:pPr>
        <w:numPr>
          <w:ilvl w:val="0"/>
          <w:numId w:val="1002"/>
        </w:numPr>
      </w:pPr>
      <w:r>
        <w:t xml:space="preserve">Поддержать сервисы и компоненты как task</w:t>
      </w:r>
      <w:r>
        <w:rPr>
          <w:strike/>
        </w:rPr>
        <w:t xml:space="preserve">specific каталоги или ссылки на внешние каталоги: ключ, название, владелец, ответственная группа, доступные типы задач, SLA</w:t>
      </w:r>
      <w:r>
        <w:t xml:space="preserve">binding, активность и where-used.</w:t>
      </w:r>
    </w:p>
    <w:p>
      <w:pPr>
        <w:numPr>
          <w:ilvl w:val="0"/>
          <w:numId w:val="1002"/>
        </w:numPr>
      </w:pPr>
      <w:r>
        <w:t xml:space="preserve">Поддержать матрицу влияния задачи на сервисы, базы данных, модули, host, организации и пользовательские группы. Уровень влияния должен участвовать в приоритизации, маршрутизации, SLA, уведомлениях и отчетности.</w:t>
      </w:r>
    </w:p>
    <w:p>
      <w:pPr>
        <w:numPr>
          <w:ilvl w:val="0"/>
          <w:numId w:val="1002"/>
        </w:numPr>
      </w:pPr>
      <w:r>
        <w:t xml:space="preserve">Поддержать роли участников по модели RACI или аналогичной настраиваемой модели: ответственный, исполнитель, согласующий, информируемый, владелец сервиса, внутренний куратор и другие роли проекта.</w:t>
      </w:r>
    </w:p>
    <w:p>
      <w:pPr>
        <w:numPr>
          <w:ilvl w:val="0"/>
          <w:numId w:val="1002"/>
        </w:numPr>
      </w:pPr>
      <w:r>
        <w:t xml:space="preserve">Tasks должен хранить task-specific роль и ссылку на пользователя, группу, подразделение или вычисляемый resolver, но не должен реализовывать общий Users/Organisations lifecycle.</w:t>
      </w:r>
    </w:p>
    <w:p>
      <w:pPr>
        <w:numPr>
          <w:ilvl w:val="0"/>
          <w:numId w:val="1002"/>
        </w:numPr>
      </w:pPr>
      <w:r>
        <w:t xml:space="preserve">Поддержать компетенции и зоны ответственности как настройки маршрутизации задач: категории задач, компоненты, базы, модули, организации, языки, приоритеты или другие признаки выбора исполнителя.</w:t>
      </w:r>
    </w:p>
    <w:p>
      <w:pPr>
        <w:numPr>
          <w:ilvl w:val="0"/>
          <w:numId w:val="1002"/>
        </w:numPr>
      </w:pPr>
      <w:r>
        <w:t xml:space="preserve">При ручном назначении показывать предупреждение, если исполнитель не соответствует компетенции, а проект должен задавать режим мягкого предупреждения или жесткого запрета.</w:t>
      </w:r>
    </w:p>
    <w:p>
      <w:pPr>
        <w:numPr>
          <w:ilvl w:val="0"/>
          <w:numId w:val="1002"/>
        </w:numPr>
      </w:pPr>
      <w:r>
        <w:t xml:space="preserve">Поддержать проектные квоты и лимиты на создание задач, типы обращений, каналы, пользователя, роль, host или внешнюю интеграцию как task-specific policy. Общий механизм прав и защиты от злоупотреблений остается во внешних модулях.</w:t>
      </w:r>
    </w:p>
    <w:p>
      <w:pPr>
        <w:numPr>
          <w:ilvl w:val="0"/>
          <w:numId w:val="1002"/>
        </w:numPr>
      </w:pPr>
      <w:r>
        <w:t xml:space="preserve">Поддержать импорт задач с режимом предварительной проверки без записи данных: проверка обязательных полей, прав, проекта, начального статуса и сопоставления внешнего идентификатора с существующей задачей.</w:t>
      </w:r>
    </w:p>
    <w:p>
      <w:pPr>
        <w:numPr>
          <w:ilvl w:val="0"/>
          <w:numId w:val="1002"/>
        </w:numPr>
      </w:pPr>
      <w:r>
        <w:t xml:space="preserve">Поддержать экспорт списка задач в табличный формат и экспорт отдельной задачи в диагностический JSON с маскированием скрытых данных.</w:t>
      </w:r>
    </w:p>
    <w:p>
      <w:pPr>
        <w:numPr>
          <w:ilvl w:val="0"/>
          <w:numId w:val="1002"/>
        </w:numPr>
      </w:pPr>
      <w:r>
        <w:t xml:space="preserve">Поддержать where</w:t>
      </w:r>
      <w:r>
        <w:rPr>
          <w:strike/>
        </w:rPr>
        <w:t xml:space="preserve">used для task</w:t>
      </w:r>
      <w:r>
        <w:t xml:space="preserve">specific типов, шаблонов, сервисов, компонентов, ролей и связей, чтобы администратор видел, какие задачи и настройки будут затронуты изменением или удалением.</w:t>
      </w:r>
    </w:p>
    <w:p>
      <w:pPr>
        <w:numPr>
          <w:ilvl w:val="0"/>
          <w:numId w:val="1002"/>
        </w:numPr>
      </w:pPr>
      <w:r>
        <w:t xml:space="preserve">Подготовить task-specific Help по назначению каждой сущности, правилам настройки, совместимости и типовым ошибкам.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типами, шаблонами, чек</w:t>
      </w:r>
      <w:r>
        <w:t xml:space="preserve">листами, типами связей, сервисными и компонентными профилями, impact matrix, RACI</w:t>
      </w:r>
      <w:r>
        <w:rPr>
          <w:strike/>
        </w:rPr>
        <w:t xml:space="preserve">ролями, task</w:t>
      </w:r>
      <w:r>
        <w:t xml:space="preserve">specific competency bindings, квотами, импортом/экспортом задач и доменными правилами where-used.</w:t>
      </w:r>
    </w:p>
    <w:p>
      <w:pPr>
        <w:numPr>
          <w:ilvl w:val="0"/>
          <w:numId w:val="1002"/>
        </w:numPr>
      </w:pPr>
      <w:r>
        <w:t xml:space="preserve">FieldConfiguration владеет общим registry полей, типами данных, storage binding, подсказками, вводом, отображением, поиском, экспортом и API-метаданными.</w:t>
      </w:r>
    </w:p>
    <w:p>
      <w:pPr>
        <w:numPr>
          <w:ilvl w:val="0"/>
          <w:numId w:val="1002"/>
        </w:numPr>
      </w:pPr>
      <w:r>
        <w:t xml:space="preserve">FindDublet владеет профилями поиска дублей, normalizers, candidate resolvers, scoring, thresholds и диагностикой дублей.</w:t>
      </w:r>
    </w:p>
    <w:p>
      <w:pPr>
        <w:numPr>
          <w:ilvl w:val="0"/>
          <w:numId w:val="1002"/>
        </w:numPr>
      </w:pPr>
      <w:r>
        <w:t xml:space="preserve">Users/Organisations владеют жизненным циклом пользователей, организаций, подразделений, групп, отсутствий, делегирований и общими resolver-ами участников.</w:t>
      </w:r>
    </w:p>
    <w:p>
      <w:pPr>
        <w:numPr>
          <w:ilvl w:val="0"/>
          <w:numId w:val="1002"/>
        </w:numPr>
      </w:pPr>
      <w:r>
        <w:t xml:space="preserve">Security владеет проверкой прав на запись, связь, поле, view, импорт, экспорт, назначение и раскрытие скрытых данных.</w:t>
      </w:r>
    </w:p>
    <w:p>
      <w:pPr>
        <w:numPr>
          <w:ilvl w:val="0"/>
          <w:numId w:val="1002"/>
        </w:numPr>
      </w:pPr>
      <w:r>
        <w:t xml:space="preserve">Workflow* владеет переходами, conditions, post</w:t>
      </w:r>
      <w:r>
        <w:rPr>
          <w:strike/>
        </w:rPr>
        <w:t xml:space="preserve">functions и применением workflow</w:t>
      </w:r>
      <w:r>
        <w:t xml:space="preserve">правил.</w:t>
      </w:r>
    </w:p>
    <w:p>
      <w:pPr>
        <w:numPr>
          <w:ilvl w:val="0"/>
          <w:numId w:val="1002"/>
        </w:numPr>
      </w:pPr>
      <w:r>
        <w:t xml:space="preserve">Collaboration, TaskPortal, NewsFeed, Menu, I128FMail, WorkflowBoard и WorkflowCalendar не входят в эту задачу; Tasks должен только оставить для них стабильные доменные ссылки и точки расширения.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Администратор может настроить типы задач, типы обращений и шаблоны без знания физических полей записи TASK.</w:t>
      </w:r>
    </w:p>
    <w:p>
      <w:pPr>
        <w:numPr>
          <w:ilvl w:val="0"/>
          <w:numId w:val="1002"/>
        </w:numPr>
      </w:pPr>
      <w:r>
        <w:t xml:space="preserve">Пользователь может создать задачу по шаблону, получить начальные значения, чек-лист, связи и корректный экран создания.</w:t>
      </w:r>
    </w:p>
    <w:p>
      <w:pPr>
        <w:numPr>
          <w:ilvl w:val="0"/>
          <w:numId w:val="1002"/>
        </w:numPr>
      </w:pPr>
      <w:r>
        <w:t xml:space="preserve">Чек</w:t>
      </w:r>
      <w:r>
        <w:rPr>
          <w:strike/>
        </w:rPr>
        <w:t xml:space="preserve">лист хранится в задаче, а пункт чек</w:t>
      </w:r>
      <w:r>
        <w:t xml:space="preserve">листа может быть превращен в подзадачу с отдельной записью и связью 113 LINK.</w:t>
      </w:r>
    </w:p>
    <w:p>
      <w:pPr>
        <w:numPr>
          <w:ilvl w:val="0"/>
          <w:numId w:val="1002"/>
        </w:numPr>
      </w:pPr>
      <w:r>
        <w:t xml:space="preserve">Связи 113 LINK работают для задач, произвольных записей ИРБИС 128 и внешних URL; карточка показывает входящие и исходящие связи с учетом прав.</w:t>
      </w:r>
    </w:p>
    <w:p>
      <w:pPr>
        <w:numPr>
          <w:ilvl w:val="0"/>
          <w:numId w:val="1002"/>
        </w:numPr>
      </w:pPr>
      <w:r>
        <w:t xml:space="preserve">Блокирующие связи и подзадачи могут влиять на доступность закрытия через condition-форматы без частной логики workflow engine в Tasks.</w:t>
      </w:r>
    </w:p>
    <w:p>
      <w:pPr>
        <w:numPr>
          <w:ilvl w:val="0"/>
          <w:numId w:val="1002"/>
        </w:numPr>
      </w:pPr>
      <w:r>
        <w:t xml:space="preserve">Сервисы, компоненты и impact matrix влияют на маршрутизацию, приоритет, SLA-binding и отчетные признаки, но не дублируют внешние справочники.</w:t>
      </w:r>
    </w:p>
    <w:p>
      <w:pPr>
        <w:numPr>
          <w:ilvl w:val="0"/>
          <w:numId w:val="1002"/>
        </w:numPr>
      </w:pPr>
      <w:r>
        <w:t xml:space="preserve">Роли участников, компетенции и зоны ответственности используются при назначении и проверке прав, но общий lifecycle пользователей и организаций остается во внешних модулях.</w:t>
      </w:r>
    </w:p>
    <w:p>
      <w:pPr>
        <w:numPr>
          <w:ilvl w:val="0"/>
          <w:numId w:val="1002"/>
        </w:numPr>
      </w:pPr>
      <w:r>
        <w:t xml:space="preserve">Импорт имеет режим предварительной проверки, не обходит workflow и права, показывает созданные, обновленные, пропущенные и ошибочные записи.</w:t>
      </w:r>
    </w:p>
    <w:p>
      <w:pPr>
        <w:numPr>
          <w:ilvl w:val="0"/>
          <w:numId w:val="1002"/>
        </w:numPr>
      </w:pPr>
      <w:r>
        <w:t xml:space="preserve">Экспорт и диагностический JSON не раскрывают скрытые поля и данные связанных объектов без права пользователя.</w:t>
      </w:r>
    </w:p>
    <w:p>
      <w:pPr>
        <w:numPr>
          <w:ilvl w:val="0"/>
          <w:numId w:val="1002"/>
        </w:numPr>
      </w:pPr>
      <w:r>
        <w:t xml:space="preserve">Изменение или удаление task</w:t>
      </w:r>
      <w:r>
        <w:rPr>
          <w:strike/>
        </w:rPr>
        <w:t xml:space="preserve">specific сущности показывает where</w:t>
      </w:r>
      <w:r>
        <w:t xml:space="preserve">used и не оставляет битых ссылок в задачах.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типов задач, шаблонов, чек</w:t>
      </w:r>
      <w:r>
        <w:t xml:space="preserve">листов, преобразования пункта в подзадачу, связей 113 LINK, блокеров, дублей, сервисов, компонентов, impact matrix, ролей участников, компетенций, квот, import dry</w:t>
      </w:r>
      <w:r>
        <w:rPr>
          <w:strike/>
        </w:rPr>
        <w:t xml:space="preserve">run, export и where</w:t>
      </w:r>
      <w:r>
        <w:t xml:space="preserve">used. Help должен объяснять администратору назначение каждой сущности, типовые настройки проекта и границы между Tasks и внешними системными модулями.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0"/>
    <w:p>
      <w:pPr>
        <w:pStyle w:val="Heading3"/>
      </w:pPr>
      <w:r>
        <w:t xml:space="preserve">1.2. 🔗 blocks: I128-2810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1"/>
    <w:p>
      <w:pPr>
        <w:pStyle w:val="Heading3"/>
      </w:pPr>
      <w:r>
        <w:t xml:space="preserve">1.3. 🔗 blocks: I128-2811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0"/>
    <w:p>
      <w:pPr>
        <w:pStyle w:val="Heading3"/>
      </w:pPr>
      <w:r>
        <w:t xml:space="preserve">1.5. 🔗 blocks: I128-2790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3"/>
    <w:p>
      <w:pPr>
        <w:pStyle w:val="Heading3"/>
      </w:pPr>
      <w:r>
        <w:t xml:space="preserve">1.8. 🔗 blocks: I128-2813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9"/>
    <w:p>
      <w:pPr>
        <w:pStyle w:val="Heading3"/>
      </w:pPr>
      <w:r>
        <w:t xml:space="preserve">1.9. 🔗 blocks: I128-2839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3"/>
    <w:p>
      <w:pPr>
        <w:pStyle w:val="Heading3"/>
      </w:pPr>
      <w:r>
        <w:t xml:space="preserve">1.10. 🔗 blocks: I128-2823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[I128-2804] Доменные сущности, связи и классификация задач</dc:title>
  <dc:creator/>
  <cp:keywords/>
  <dcterms:created xsi:type="dcterms:W3CDTF">2026-10-18T12:59:50Z</dcterms:created>
  <dcterms:modified xsi:type="dcterms:W3CDTF">2026-10-18T12:59:50Z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