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750245389e1e51862e0f34fa8edf283fb9958e"/>
    <w:p>
      <w:pPr>
        <w:pStyle w:val="Heading1"/>
      </w:pPr>
      <w:r>
        <w:t xml:space="preserve">[I128-1173] 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уточнено, что команды просмотра сведений появляются после выбора записи; для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кнопка скрыта, пока запись не выбрана, и может отсутствовать для записей без систематических индексов.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просмотра сведений о найденных записях в АРМ Каталогизатор дополнен описанием поведения кнопки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: пользователь сначала выбирает запись в результатах поиска, после чего открывает команду просмотра индексов. Если запись не выбрана,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5"/>
    <w:p>
      <w:pPr>
        <w:pStyle w:val="Heading3"/>
      </w:pPr>
      <w:r>
        <w:t xml:space="preserve">1.1. 🔗 Соответствует задача: I128-895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[I128-895]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“Систематические шифры”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[I128-1173] Пока не выделена запись, кнопка “Систематические шифры” скрыта</dc:title>
  <dc:creator/>
  <cp:keywords/>
  <dcterms:created xsi:type="dcterms:W3CDTF">2026-10-19T18:46:55Z</dcterms:created>
  <dcterms:modified xsi:type="dcterms:W3CDTF">2026-10-19T18:46:55Z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