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Провайдеры и подключение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вайдеры-и-подключение"/>
    <w:p>
      <w:pPr>
        <w:pStyle w:val="Heading1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10" w:name="варианты-подключения"/>
    <w:p>
      <w:pPr>
        <w:pStyle w:val="Heading2"/>
      </w:pPr>
      <w:r>
        <w:t xml:space="preserve">1. Варианты подключения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10"/>
    <w:bookmarkStart w:id="11" w:name="открытие-баз"/>
    <w:p>
      <w:pPr>
        <w:pStyle w:val="Heading2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11"/>
    <w:bookmarkStart w:id="12" w:name="доступ-к-провайдеру-и-кэшу-открытых-баз"/>
    <w:p>
      <w:pPr>
        <w:pStyle w:val="Heading2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12"/>
    <w:bookmarkStart w:id="13" w:name="ошибки"/>
    <w:p>
      <w:pPr>
        <w:pStyle w:val="Heading2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Irbis64Nativ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Irbis64Nativ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Провайдеры и подключение</dc:title>
  <dc:creator/>
  <cp:keywords/>
  <dcterms:created xsi:type="dcterms:W3CDTF">2026-10-25T16:12:48Z</dcterms:created>
  <dcterms:modified xsi:type="dcterms:W3CDTF">2026-10-25T16:12:48Z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