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ab13ad2bff7044c49860d03f4f731db587e853"/>
    <w:p>
      <w:pPr>
        <w:pStyle w:val="Heading1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думаю необходимо также добавить возможность рабы с этим параметром для арма книговыдача и арма комплектатор. в модулях корректировки , как минимум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66"/>
    <w:p>
      <w:pPr>
        <w:pStyle w:val="Heading3"/>
      </w:pPr>
      <w:r>
        <w:t xml:space="preserve">1.1. 🔗 Соответствует задача: I128-1866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[I128-1866]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61"/>
    <w:p>
      <w:pPr>
        <w:pStyle w:val="Heading3"/>
      </w:pPr>
      <w:r>
        <w:t xml:space="preserve">1.2. 🔗 Соответствует задача: I128-2061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[I128-2061]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[I128-1847] Добавить параметр в клиентский ини файл отвечающий за масштаб страницы в формате просмотра для html содержимого</dc:title>
  <dc:creator/>
  <cp:keywords/>
  <dcterms:created xsi:type="dcterms:W3CDTF">2026-10-23T08:56:59Z</dcterms:created>
  <dcterms:modified xsi:type="dcterms:W3CDTF">2026-10-23T08:56:59Z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